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51ADC" w14:textId="308C0171" w:rsidR="001A321F" w:rsidRPr="00657C77" w:rsidRDefault="3EAD9D59" w:rsidP="2129551E">
      <w:pPr>
        <w:pBdr>
          <w:bottom w:val="single" w:sz="6" w:space="1" w:color="auto"/>
        </w:pBdr>
        <w:rPr>
          <w:rFonts w:eastAsiaTheme="minorEastAsia"/>
          <w:b/>
          <w:bCs/>
          <w:color w:val="1F497D" w:themeColor="text2"/>
          <w:sz w:val="32"/>
          <w:szCs w:val="32"/>
        </w:rPr>
      </w:pPr>
      <w:bookmarkStart w:id="0" w:name="_Hlk12282768"/>
      <w:bookmarkStart w:id="1" w:name="_Hlk522780506"/>
      <w:r w:rsidRPr="00657C77">
        <w:rPr>
          <w:rFonts w:eastAsiaTheme="minorEastAsia"/>
          <w:b/>
          <w:bCs/>
          <w:color w:val="1F497D" w:themeColor="text2"/>
          <w:sz w:val="32"/>
          <w:szCs w:val="32"/>
        </w:rPr>
        <w:t xml:space="preserve"> </w:t>
      </w:r>
      <w:r w:rsidR="0018141C" w:rsidRPr="00657C77">
        <w:rPr>
          <w:rFonts w:eastAsiaTheme="minorEastAsia"/>
          <w:b/>
          <w:bCs/>
          <w:color w:val="1F497D" w:themeColor="text2"/>
          <w:sz w:val="32"/>
          <w:szCs w:val="32"/>
        </w:rPr>
        <w:t>P</w:t>
      </w:r>
      <w:r w:rsidR="2CDFBC1E" w:rsidRPr="00657C77">
        <w:rPr>
          <w:rFonts w:eastAsiaTheme="minorEastAsia"/>
          <w:b/>
          <w:bCs/>
          <w:color w:val="1F497D" w:themeColor="text2"/>
          <w:sz w:val="32"/>
          <w:szCs w:val="32"/>
        </w:rPr>
        <w:t>rocurement Polic</w:t>
      </w:r>
      <w:r w:rsidR="00C866B3" w:rsidRPr="00657C77">
        <w:rPr>
          <w:rFonts w:eastAsiaTheme="minorEastAsia"/>
          <w:b/>
          <w:bCs/>
          <w:color w:val="1F497D" w:themeColor="text2"/>
          <w:sz w:val="32"/>
          <w:szCs w:val="32"/>
        </w:rPr>
        <w:t>y</w:t>
      </w:r>
    </w:p>
    <w:p w14:paraId="2E9449E8" w14:textId="22FB1955" w:rsidR="001A321F" w:rsidRPr="0018141C" w:rsidRDefault="001A321F" w:rsidP="5C0AF1C9">
      <w:pPr>
        <w:rPr>
          <w:rFonts w:ascii="Calibri" w:eastAsia="Calibri" w:hAnsi="Calibri" w:cs="Calibri"/>
          <w:b/>
          <w:bCs/>
          <w:color w:val="FF0000"/>
        </w:rPr>
      </w:pPr>
    </w:p>
    <w:p w14:paraId="1CE0502E" w14:textId="6470AC4E" w:rsidR="0027494E" w:rsidRDefault="0027494E" w:rsidP="5C0AF1C9">
      <w:pPr>
        <w:rPr>
          <w:rFonts w:ascii="Calibri" w:eastAsia="Calibri" w:hAnsi="Calibri" w:cs="Calibri"/>
          <w:b/>
          <w:bCs/>
        </w:rPr>
      </w:pPr>
    </w:p>
    <w:p w14:paraId="518F23FF" w14:textId="77777777" w:rsidR="0027494E" w:rsidRPr="0027494E" w:rsidRDefault="0027494E" w:rsidP="5C0AF1C9">
      <w:pPr>
        <w:rPr>
          <w:rFonts w:ascii="Calibri" w:eastAsia="Calibri" w:hAnsi="Calibri" w:cs="Calibri"/>
          <w:b/>
          <w:bCs/>
        </w:rPr>
      </w:pPr>
    </w:p>
    <w:tbl>
      <w:tblPr>
        <w:tblStyle w:val="TableGrid"/>
        <w:tblW w:w="9067" w:type="dxa"/>
        <w:tblLook w:val="04A0" w:firstRow="1" w:lastRow="0" w:firstColumn="1" w:lastColumn="0" w:noHBand="0" w:noVBand="1"/>
      </w:tblPr>
      <w:tblGrid>
        <w:gridCol w:w="1320"/>
        <w:gridCol w:w="1390"/>
        <w:gridCol w:w="2883"/>
        <w:gridCol w:w="1637"/>
        <w:gridCol w:w="1837"/>
      </w:tblGrid>
      <w:tr w:rsidR="001A321F" w:rsidRPr="0027494E" w14:paraId="3450A2F4" w14:textId="77777777" w:rsidTr="5C0AF1C9">
        <w:tc>
          <w:tcPr>
            <w:tcW w:w="1320" w:type="dxa"/>
          </w:tcPr>
          <w:p w14:paraId="09E416E9"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Version number</w:t>
            </w:r>
          </w:p>
        </w:tc>
        <w:tc>
          <w:tcPr>
            <w:tcW w:w="1390" w:type="dxa"/>
          </w:tcPr>
          <w:p w14:paraId="0E4FA304"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Date approved (including committee)</w:t>
            </w:r>
          </w:p>
        </w:tc>
        <w:tc>
          <w:tcPr>
            <w:tcW w:w="2883" w:type="dxa"/>
          </w:tcPr>
          <w:p w14:paraId="202D970A"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Reason for production/revision</w:t>
            </w:r>
          </w:p>
        </w:tc>
        <w:tc>
          <w:tcPr>
            <w:tcW w:w="1637" w:type="dxa"/>
          </w:tcPr>
          <w:p w14:paraId="10081228"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Author</w:t>
            </w:r>
          </w:p>
        </w:tc>
        <w:tc>
          <w:tcPr>
            <w:tcW w:w="1837" w:type="dxa"/>
          </w:tcPr>
          <w:p w14:paraId="20AD52DD"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 xml:space="preserve">Proposed next review date </w:t>
            </w:r>
          </w:p>
        </w:tc>
      </w:tr>
      <w:tr w:rsidR="001A321F" w:rsidRPr="0027494E" w14:paraId="3E57BD1E" w14:textId="77777777" w:rsidTr="5C0AF1C9">
        <w:tc>
          <w:tcPr>
            <w:tcW w:w="1320" w:type="dxa"/>
          </w:tcPr>
          <w:p w14:paraId="791844EB" w14:textId="52F6126B" w:rsidR="76CCBDA9" w:rsidRDefault="76CCBDA9" w:rsidP="5C0AF1C9">
            <w:pPr>
              <w:spacing w:line="259" w:lineRule="auto"/>
              <w:rPr>
                <w:rFonts w:ascii="Calibri" w:eastAsia="Calibri" w:hAnsi="Calibri" w:cs="Calibri"/>
              </w:rPr>
            </w:pPr>
            <w:r w:rsidRPr="5C0AF1C9">
              <w:rPr>
                <w:rFonts w:ascii="Calibri" w:eastAsia="Calibri" w:hAnsi="Calibri" w:cs="Calibri"/>
              </w:rPr>
              <w:t>V1</w:t>
            </w:r>
            <w:r w:rsidR="00D71C52">
              <w:rPr>
                <w:rFonts w:ascii="Calibri" w:eastAsia="Calibri" w:hAnsi="Calibri" w:cs="Calibri"/>
              </w:rPr>
              <w:t>.0</w:t>
            </w:r>
          </w:p>
          <w:p w14:paraId="14C39102" w14:textId="77777777" w:rsidR="00675551" w:rsidRDefault="00675551" w:rsidP="5C0AF1C9">
            <w:pPr>
              <w:rPr>
                <w:rFonts w:ascii="Calibri" w:eastAsia="Calibri" w:hAnsi="Calibri" w:cs="Calibri"/>
              </w:rPr>
            </w:pPr>
          </w:p>
          <w:p w14:paraId="14884D19" w14:textId="3724AB12" w:rsidR="00675551" w:rsidRPr="0027494E" w:rsidRDefault="00675551" w:rsidP="5C0AF1C9">
            <w:pPr>
              <w:rPr>
                <w:rFonts w:ascii="Calibri" w:eastAsia="Calibri" w:hAnsi="Calibri" w:cs="Calibri"/>
              </w:rPr>
            </w:pPr>
          </w:p>
        </w:tc>
        <w:tc>
          <w:tcPr>
            <w:tcW w:w="1390" w:type="dxa"/>
          </w:tcPr>
          <w:p w14:paraId="4C02857C" w14:textId="7DA6863D" w:rsidR="001A321F" w:rsidRPr="0027494E" w:rsidRDefault="76CCBDA9" w:rsidP="5C0AF1C9">
            <w:pPr>
              <w:spacing w:line="259" w:lineRule="auto"/>
              <w:rPr>
                <w:rFonts w:ascii="Calibri" w:eastAsia="Calibri" w:hAnsi="Calibri" w:cs="Calibri"/>
              </w:rPr>
            </w:pPr>
            <w:r w:rsidRPr="5C0AF1C9">
              <w:rPr>
                <w:rFonts w:ascii="Calibri" w:eastAsia="Calibri" w:hAnsi="Calibri" w:cs="Calibri"/>
              </w:rPr>
              <w:t>February 2022</w:t>
            </w:r>
          </w:p>
        </w:tc>
        <w:tc>
          <w:tcPr>
            <w:tcW w:w="2883" w:type="dxa"/>
          </w:tcPr>
          <w:p w14:paraId="17C7B1E1" w14:textId="2622CF0F" w:rsidR="001A321F" w:rsidRPr="0027494E" w:rsidRDefault="09E1CCED" w:rsidP="5C0AF1C9">
            <w:pPr>
              <w:rPr>
                <w:rFonts w:ascii="Calibri" w:eastAsia="Calibri" w:hAnsi="Calibri" w:cs="Calibri"/>
              </w:rPr>
            </w:pPr>
            <w:r w:rsidRPr="5C0AF1C9">
              <w:rPr>
                <w:rFonts w:ascii="Calibri" w:eastAsia="Calibri" w:hAnsi="Calibri" w:cs="Calibri"/>
              </w:rPr>
              <w:t xml:space="preserve">Initial Policy Driven by the initiation of the (FR Framework) </w:t>
            </w:r>
          </w:p>
        </w:tc>
        <w:tc>
          <w:tcPr>
            <w:tcW w:w="1637" w:type="dxa"/>
          </w:tcPr>
          <w:p w14:paraId="62FFB152" w14:textId="6B93DCF3" w:rsidR="001A321F" w:rsidRPr="0027494E" w:rsidRDefault="76CCBDA9" w:rsidP="5C0AF1C9">
            <w:pPr>
              <w:rPr>
                <w:rFonts w:ascii="Calibri" w:eastAsia="Calibri" w:hAnsi="Calibri" w:cs="Calibri"/>
              </w:rPr>
            </w:pPr>
            <w:r w:rsidRPr="5C0AF1C9">
              <w:rPr>
                <w:rFonts w:ascii="Calibri" w:eastAsia="Calibri" w:hAnsi="Calibri" w:cs="Calibri"/>
              </w:rPr>
              <w:t>Jenny Marzano</w:t>
            </w:r>
          </w:p>
        </w:tc>
        <w:tc>
          <w:tcPr>
            <w:tcW w:w="1837" w:type="dxa"/>
          </w:tcPr>
          <w:p w14:paraId="0642738E" w14:textId="2BE66349" w:rsidR="001A321F" w:rsidRPr="0027494E" w:rsidRDefault="76CCBDA9" w:rsidP="5C0AF1C9">
            <w:pPr>
              <w:spacing w:line="259" w:lineRule="auto"/>
              <w:rPr>
                <w:rFonts w:ascii="Calibri" w:eastAsia="Calibri" w:hAnsi="Calibri" w:cs="Calibri"/>
              </w:rPr>
            </w:pPr>
            <w:r w:rsidRPr="5C0AF1C9">
              <w:rPr>
                <w:rFonts w:ascii="Calibri" w:eastAsia="Calibri" w:hAnsi="Calibri" w:cs="Calibri"/>
              </w:rPr>
              <w:t>February 2023</w:t>
            </w:r>
          </w:p>
        </w:tc>
      </w:tr>
      <w:tr w:rsidR="001A321F" w:rsidRPr="0027494E" w14:paraId="3ECA6EA7" w14:textId="77777777" w:rsidTr="5C0AF1C9">
        <w:tc>
          <w:tcPr>
            <w:tcW w:w="9067" w:type="dxa"/>
            <w:gridSpan w:val="5"/>
            <w:shd w:val="clear" w:color="auto" w:fill="BFBFBF" w:themeFill="background1" w:themeFillShade="BF"/>
          </w:tcPr>
          <w:p w14:paraId="46FEFA05" w14:textId="77777777" w:rsidR="001A321F" w:rsidRPr="0027494E" w:rsidRDefault="68CEED01" w:rsidP="5C0AF1C9">
            <w:pPr>
              <w:rPr>
                <w:rFonts w:ascii="Calibri" w:eastAsia="Calibri" w:hAnsi="Calibri" w:cs="Calibri"/>
                <w:b/>
                <w:bCs/>
              </w:rPr>
            </w:pPr>
            <w:r w:rsidRPr="5C0AF1C9">
              <w:rPr>
                <w:rFonts w:ascii="Calibri" w:eastAsia="Calibri" w:hAnsi="Calibri" w:cs="Calibri"/>
                <w:b/>
                <w:bCs/>
              </w:rPr>
              <w:t xml:space="preserve">Related policies </w:t>
            </w:r>
          </w:p>
        </w:tc>
      </w:tr>
      <w:tr w:rsidR="001A321F" w:rsidRPr="0027494E" w14:paraId="3841DDAF" w14:textId="77777777" w:rsidTr="5C0AF1C9">
        <w:tc>
          <w:tcPr>
            <w:tcW w:w="9067" w:type="dxa"/>
            <w:gridSpan w:val="5"/>
          </w:tcPr>
          <w:p w14:paraId="7F23F5C6" w14:textId="70CD50C7" w:rsidR="0018141C" w:rsidRPr="0018141C" w:rsidRDefault="09E1CCED" w:rsidP="5C0AF1C9">
            <w:pPr>
              <w:pStyle w:val="ListParagraph"/>
              <w:numPr>
                <w:ilvl w:val="0"/>
                <w:numId w:val="23"/>
              </w:numPr>
              <w:rPr>
                <w:rFonts w:ascii="Calibri" w:eastAsia="Calibri" w:hAnsi="Calibri" w:cs="Calibri"/>
                <w:color w:val="000000" w:themeColor="text1"/>
              </w:rPr>
            </w:pPr>
            <w:r w:rsidRPr="5C0AF1C9">
              <w:rPr>
                <w:rFonts w:ascii="Calibri" w:eastAsia="Calibri" w:hAnsi="Calibri" w:cs="Calibri"/>
              </w:rPr>
              <w:t>Corporate Criminal Offences Policy</w:t>
            </w:r>
          </w:p>
          <w:p w14:paraId="46F80CBB" w14:textId="799BA457" w:rsidR="0018141C" w:rsidRPr="0018141C" w:rsidRDefault="09E1CCED" w:rsidP="5C0AF1C9">
            <w:pPr>
              <w:pStyle w:val="ListParagraph"/>
              <w:numPr>
                <w:ilvl w:val="0"/>
                <w:numId w:val="23"/>
              </w:numPr>
              <w:rPr>
                <w:color w:val="000000" w:themeColor="text1"/>
              </w:rPr>
            </w:pPr>
            <w:r w:rsidRPr="5C0AF1C9">
              <w:rPr>
                <w:rFonts w:ascii="Calibri" w:eastAsia="Calibri" w:hAnsi="Calibri" w:cs="Calibri"/>
              </w:rPr>
              <w:t>ABC Policy (Anti Bribery and Corruption)</w:t>
            </w:r>
          </w:p>
          <w:p w14:paraId="670B517C" w14:textId="77777777" w:rsidR="001A321F" w:rsidRPr="0027494E" w:rsidRDefault="001A321F" w:rsidP="5C0AF1C9">
            <w:pPr>
              <w:pStyle w:val="ListParagraph"/>
              <w:rPr>
                <w:rFonts w:ascii="Calibri" w:eastAsia="Calibri" w:hAnsi="Calibri" w:cs="Calibri"/>
                <w:b/>
                <w:bCs/>
              </w:rPr>
            </w:pPr>
          </w:p>
        </w:tc>
      </w:tr>
      <w:tr w:rsidR="001A321F" w:rsidRPr="0027494E" w14:paraId="74D7B67A" w14:textId="77777777" w:rsidTr="5C0AF1C9">
        <w:tc>
          <w:tcPr>
            <w:tcW w:w="9067" w:type="dxa"/>
            <w:gridSpan w:val="5"/>
            <w:shd w:val="clear" w:color="auto" w:fill="BFBFBF" w:themeFill="background1" w:themeFillShade="BF"/>
          </w:tcPr>
          <w:p w14:paraId="51E26208" w14:textId="77777777" w:rsidR="001A321F" w:rsidRPr="0027494E" w:rsidRDefault="5B3814D8" w:rsidP="5C0AF1C9">
            <w:pPr>
              <w:rPr>
                <w:rFonts w:ascii="Calibri" w:eastAsia="Calibri" w:hAnsi="Calibri" w:cs="Calibri"/>
                <w:b/>
                <w:bCs/>
              </w:rPr>
            </w:pPr>
            <w:bookmarkStart w:id="2" w:name="_Hlk7613750"/>
            <w:r w:rsidRPr="5C0AF1C9">
              <w:rPr>
                <w:rFonts w:ascii="Calibri" w:eastAsia="Calibri" w:hAnsi="Calibri" w:cs="Calibri"/>
                <w:b/>
                <w:bCs/>
              </w:rPr>
              <w:t xml:space="preserve">External Reference </w:t>
            </w:r>
          </w:p>
        </w:tc>
      </w:tr>
      <w:tr w:rsidR="001A321F" w:rsidRPr="003B0E63" w14:paraId="30AF7FEA" w14:textId="77777777" w:rsidTr="5C0AF1C9">
        <w:tc>
          <w:tcPr>
            <w:tcW w:w="9067" w:type="dxa"/>
            <w:gridSpan w:val="5"/>
            <w:shd w:val="clear" w:color="auto" w:fill="auto"/>
          </w:tcPr>
          <w:p w14:paraId="2CECDFC2" w14:textId="77777777" w:rsidR="0018141C" w:rsidRPr="003B0E63" w:rsidRDefault="0018141C" w:rsidP="5C0AF1C9">
            <w:pPr>
              <w:pStyle w:val="ListParagraph"/>
              <w:ind w:left="720"/>
              <w:rPr>
                <w:rFonts w:ascii="Calibri" w:eastAsia="Calibri" w:hAnsi="Calibri" w:cs="Calibri"/>
              </w:rPr>
            </w:pPr>
          </w:p>
          <w:p w14:paraId="05EBA313" w14:textId="0DF96B36" w:rsidR="0018141C" w:rsidRPr="003B0E63" w:rsidRDefault="09E1CCED" w:rsidP="5C0AF1C9">
            <w:pPr>
              <w:pStyle w:val="ListParagraph"/>
              <w:numPr>
                <w:ilvl w:val="0"/>
                <w:numId w:val="24"/>
              </w:numPr>
              <w:rPr>
                <w:rFonts w:ascii="Calibri" w:eastAsia="Calibri" w:hAnsi="Calibri" w:cs="Calibri"/>
              </w:rPr>
            </w:pPr>
            <w:r w:rsidRPr="003B0E63">
              <w:rPr>
                <w:rFonts w:ascii="Calibri" w:eastAsia="Calibri" w:hAnsi="Calibri" w:cs="Calibri"/>
              </w:rPr>
              <w:t xml:space="preserve">HEPA (Higher Education Procurement Association) Paper on Factors to achieve effective procurement. - An appropriately adapted repertoire of recommended principles to achieve the best procurement in higher education. </w:t>
            </w:r>
          </w:p>
          <w:p w14:paraId="3BDBB717" w14:textId="77777777" w:rsidR="0018141C" w:rsidRPr="003B0E63" w:rsidRDefault="0018141C" w:rsidP="5C0AF1C9">
            <w:pPr>
              <w:rPr>
                <w:rFonts w:ascii="Calibri" w:eastAsia="Calibri" w:hAnsi="Calibri" w:cs="Calibri"/>
              </w:rPr>
            </w:pPr>
          </w:p>
          <w:p w14:paraId="1187859D" w14:textId="3FEC3F79" w:rsidR="5C0AF1C9" w:rsidRPr="003B0E63" w:rsidRDefault="09E1CCED" w:rsidP="00264DF3">
            <w:pPr>
              <w:pStyle w:val="ListParagraph"/>
              <w:numPr>
                <w:ilvl w:val="0"/>
                <w:numId w:val="24"/>
              </w:numPr>
              <w:rPr>
                <w:rFonts w:ascii="Calibri" w:eastAsia="Calibri" w:hAnsi="Calibri" w:cs="Calibri"/>
              </w:rPr>
            </w:pPr>
            <w:r w:rsidRPr="003B0E63">
              <w:rPr>
                <w:rFonts w:ascii="Calibri" w:eastAsia="Calibri" w:hAnsi="Calibri" w:cs="Calibri"/>
              </w:rPr>
              <w:t>Criminal Finance Act 2017</w:t>
            </w:r>
          </w:p>
          <w:p w14:paraId="628558E0" w14:textId="6D03A560" w:rsidR="001A321F" w:rsidRPr="003B0E63" w:rsidRDefault="09E1CCED" w:rsidP="00264DF3">
            <w:pPr>
              <w:pStyle w:val="ListParagraph"/>
              <w:numPr>
                <w:ilvl w:val="0"/>
                <w:numId w:val="24"/>
              </w:numPr>
              <w:rPr>
                <w:rFonts w:ascii="Calibri" w:eastAsia="Calibri" w:hAnsi="Calibri" w:cs="Calibri"/>
              </w:rPr>
            </w:pPr>
            <w:r w:rsidRPr="003B0E63">
              <w:rPr>
                <w:rFonts w:ascii="Calibri" w:eastAsia="Calibri" w:hAnsi="Calibri" w:cs="Calibri"/>
              </w:rPr>
              <w:t>The Bribery Act 2010</w:t>
            </w:r>
          </w:p>
        </w:tc>
      </w:tr>
      <w:bookmarkEnd w:id="0"/>
      <w:bookmarkEnd w:id="2"/>
    </w:tbl>
    <w:p w14:paraId="748B7252" w14:textId="77777777" w:rsidR="005D3217" w:rsidRPr="003B0E63" w:rsidRDefault="005D3217" w:rsidP="5C0AF1C9">
      <w:pPr>
        <w:rPr>
          <w:rFonts w:ascii="Calibri" w:eastAsia="Calibri" w:hAnsi="Calibri" w:cs="Calibri"/>
        </w:rPr>
      </w:pPr>
    </w:p>
    <w:p w14:paraId="20DAE58F" w14:textId="77777777" w:rsidR="005D3217" w:rsidRPr="003B0E63" w:rsidRDefault="005D3217" w:rsidP="0027494E">
      <w:pPr>
        <w:rPr>
          <w:rFonts w:ascii="Arial" w:hAnsi="Arial" w:cs="Arial"/>
        </w:rPr>
      </w:pPr>
    </w:p>
    <w:p w14:paraId="08A55EDE" w14:textId="77777777" w:rsidR="005D3217" w:rsidRPr="003B0E63" w:rsidRDefault="005D3217" w:rsidP="0027494E">
      <w:pPr>
        <w:rPr>
          <w:rFonts w:ascii="Arial" w:hAnsi="Arial" w:cs="Arial"/>
        </w:rPr>
      </w:pPr>
    </w:p>
    <w:p w14:paraId="4B351BCD" w14:textId="77777777" w:rsidR="005D3217" w:rsidRPr="0027494E" w:rsidRDefault="005D3217" w:rsidP="0027494E">
      <w:pPr>
        <w:rPr>
          <w:rFonts w:ascii="Arial" w:hAnsi="Arial" w:cs="Arial"/>
          <w:b/>
        </w:rPr>
      </w:pPr>
    </w:p>
    <w:p w14:paraId="4F78674E" w14:textId="77777777" w:rsidR="005D3217" w:rsidRPr="0027494E" w:rsidRDefault="005D3217" w:rsidP="0027494E">
      <w:pPr>
        <w:rPr>
          <w:rFonts w:ascii="Arial" w:hAnsi="Arial" w:cs="Arial"/>
          <w:b/>
        </w:rPr>
      </w:pPr>
    </w:p>
    <w:p w14:paraId="59200163" w14:textId="77777777" w:rsidR="005D3217" w:rsidRPr="0027494E" w:rsidRDefault="005D3217" w:rsidP="0027494E">
      <w:pPr>
        <w:rPr>
          <w:rFonts w:ascii="Arial" w:hAnsi="Arial" w:cs="Arial"/>
          <w:b/>
        </w:rPr>
      </w:pPr>
    </w:p>
    <w:p w14:paraId="3BE21BF1" w14:textId="77777777" w:rsidR="005D3217" w:rsidRPr="0027494E" w:rsidRDefault="005D3217" w:rsidP="0027494E">
      <w:pPr>
        <w:rPr>
          <w:rFonts w:ascii="Arial" w:hAnsi="Arial" w:cs="Arial"/>
          <w:b/>
        </w:rPr>
      </w:pPr>
    </w:p>
    <w:p w14:paraId="6C56B262" w14:textId="77777777" w:rsidR="005D3217" w:rsidRPr="0027494E" w:rsidRDefault="005D3217" w:rsidP="0027494E">
      <w:pPr>
        <w:rPr>
          <w:rFonts w:ascii="Arial" w:hAnsi="Arial" w:cs="Arial"/>
          <w:b/>
        </w:rPr>
      </w:pPr>
    </w:p>
    <w:bookmarkEnd w:id="1"/>
    <w:p w14:paraId="01DE3876" w14:textId="10314445" w:rsidR="005D3217" w:rsidRPr="0027494E" w:rsidRDefault="005D3217" w:rsidP="0027494E">
      <w:pPr>
        <w:rPr>
          <w:rFonts w:ascii="Arial" w:hAnsi="Arial" w:cs="Arial"/>
        </w:rPr>
      </w:pPr>
      <w:r w:rsidRPr="76CCBDA9">
        <w:rPr>
          <w:rFonts w:ascii="Arial" w:hAnsi="Arial" w:cs="Arial"/>
        </w:rPr>
        <w:br w:type="page"/>
      </w:r>
    </w:p>
    <w:p w14:paraId="03B40B92" w14:textId="77777777" w:rsidR="00353474" w:rsidRPr="00353474" w:rsidRDefault="00353474" w:rsidP="00353474">
      <w:pPr>
        <w:rPr>
          <w:rFonts w:ascii="Arial" w:hAnsi="Arial" w:cs="Arial"/>
          <w:color w:val="FF0000"/>
        </w:rPr>
      </w:pPr>
    </w:p>
    <w:p w14:paraId="1D898A0C" w14:textId="389CB0D8" w:rsidR="00E87A60" w:rsidRPr="00353474" w:rsidRDefault="00353474" w:rsidP="5C0AF1C9">
      <w:pPr>
        <w:pStyle w:val="ListParagraph"/>
        <w:numPr>
          <w:ilvl w:val="0"/>
          <w:numId w:val="25"/>
        </w:numPr>
        <w:spacing w:line="259" w:lineRule="auto"/>
        <w:rPr>
          <w:rFonts w:eastAsiaTheme="minorEastAsia"/>
          <w:b/>
          <w:bCs/>
        </w:rPr>
      </w:pPr>
      <w:r w:rsidRPr="5C0AF1C9">
        <w:rPr>
          <w:rFonts w:eastAsiaTheme="minorEastAsia"/>
          <w:b/>
          <w:bCs/>
        </w:rPr>
        <w:t>Policy Statement</w:t>
      </w:r>
    </w:p>
    <w:p w14:paraId="051A3C24" w14:textId="799C6F0C" w:rsidR="00E87A60" w:rsidRPr="00353474" w:rsidRDefault="00E87A60" w:rsidP="5C0AF1C9">
      <w:pPr>
        <w:spacing w:line="259" w:lineRule="auto"/>
        <w:rPr>
          <w:rFonts w:eastAsiaTheme="minorEastAsia"/>
        </w:rPr>
      </w:pPr>
    </w:p>
    <w:p w14:paraId="45043F66" w14:textId="146C3122" w:rsidR="00353474" w:rsidRDefault="2477408E" w:rsidP="5C0AF1C9">
      <w:pPr>
        <w:spacing w:line="259" w:lineRule="auto"/>
        <w:rPr>
          <w:rFonts w:eastAsiaTheme="minorEastAsia"/>
        </w:rPr>
      </w:pPr>
      <w:r w:rsidRPr="5C0AF1C9">
        <w:rPr>
          <w:rFonts w:eastAsiaTheme="minorEastAsia"/>
        </w:rPr>
        <w:t>The overriding procurement policy requirement is that all ICMP procurement must be based on our ‘value for money’ principles and reflect the three E’s (Efficiency, Effectiveness and Economy). This can be defined as “the best mix of quality and effectiveness for the least outlay but considering optimal efficiencies over the period of use for the goods or services bought.”</w:t>
      </w:r>
    </w:p>
    <w:p w14:paraId="15A5960F" w14:textId="77777777" w:rsidR="00D71C52" w:rsidRPr="00353474" w:rsidRDefault="00D71C52" w:rsidP="5C0AF1C9">
      <w:pPr>
        <w:spacing w:line="259" w:lineRule="auto"/>
        <w:rPr>
          <w:rFonts w:eastAsiaTheme="minorEastAsia"/>
        </w:rPr>
      </w:pPr>
    </w:p>
    <w:p w14:paraId="492458E2" w14:textId="185C54B5" w:rsidR="00D71C52" w:rsidRDefault="2477408E" w:rsidP="5C0AF1C9">
      <w:pPr>
        <w:spacing w:line="259" w:lineRule="auto"/>
        <w:rPr>
          <w:rFonts w:eastAsiaTheme="minorEastAsia"/>
        </w:rPr>
      </w:pPr>
      <w:r w:rsidRPr="5C0AF1C9">
        <w:rPr>
          <w:rFonts w:eastAsiaTheme="minorEastAsia"/>
        </w:rPr>
        <w:t xml:space="preserve">This </w:t>
      </w:r>
      <w:r w:rsidR="00D71C52">
        <w:rPr>
          <w:rFonts w:eastAsiaTheme="minorEastAsia"/>
        </w:rPr>
        <w:t>will</w:t>
      </w:r>
      <w:r w:rsidR="00D71C52" w:rsidRPr="5C0AF1C9">
        <w:rPr>
          <w:rFonts w:eastAsiaTheme="minorEastAsia"/>
        </w:rPr>
        <w:t xml:space="preserve"> </w:t>
      </w:r>
      <w:r w:rsidRPr="5C0AF1C9">
        <w:rPr>
          <w:rFonts w:eastAsiaTheme="minorEastAsia"/>
        </w:rPr>
        <w:t xml:space="preserve">be achieved through a combination of competition and multiple </w:t>
      </w:r>
      <w:r w:rsidR="00C866B3" w:rsidRPr="5C0AF1C9">
        <w:rPr>
          <w:rFonts w:eastAsiaTheme="minorEastAsia"/>
        </w:rPr>
        <w:t>quotes, unless</w:t>
      </w:r>
      <w:r w:rsidRPr="5C0AF1C9">
        <w:rPr>
          <w:rFonts w:eastAsiaTheme="minorEastAsia"/>
        </w:rPr>
        <w:t xml:space="preserve"> there are compelling reasons to the contrary, and purchasing competence demonstrated by budget heads (‘buyers’). </w:t>
      </w:r>
    </w:p>
    <w:p w14:paraId="425FC7A5" w14:textId="77777777" w:rsidR="00D71C52" w:rsidRDefault="00D71C52" w:rsidP="5C0AF1C9">
      <w:pPr>
        <w:spacing w:line="259" w:lineRule="auto"/>
        <w:rPr>
          <w:rFonts w:eastAsiaTheme="minorEastAsia"/>
        </w:rPr>
      </w:pPr>
    </w:p>
    <w:p w14:paraId="03B75EE8" w14:textId="2FED6C48" w:rsidR="00353474" w:rsidRPr="00C866B3" w:rsidRDefault="2477408E" w:rsidP="5C0AF1C9">
      <w:pPr>
        <w:spacing w:line="259" w:lineRule="auto"/>
        <w:rPr>
          <w:rFonts w:eastAsiaTheme="minorEastAsia"/>
        </w:rPr>
      </w:pPr>
      <w:r w:rsidRPr="5C0AF1C9">
        <w:rPr>
          <w:rFonts w:eastAsiaTheme="minorEastAsia"/>
        </w:rPr>
        <w:t>Buyers will assess the value to the ICMP outside of just economic reward alongside considering the right quality, right quantity, and right timing to acquire.</w:t>
      </w:r>
    </w:p>
    <w:p w14:paraId="3818278F" w14:textId="709A70BF" w:rsidR="76CCBDA9" w:rsidRDefault="76CCBDA9" w:rsidP="5C0AF1C9">
      <w:pPr>
        <w:spacing w:line="259" w:lineRule="auto"/>
        <w:rPr>
          <w:rFonts w:eastAsiaTheme="minorEastAsia"/>
        </w:rPr>
      </w:pPr>
    </w:p>
    <w:p w14:paraId="390ECCCF" w14:textId="7502B128" w:rsidR="76CCBDA9" w:rsidRDefault="76CCBDA9" w:rsidP="5C0AF1C9">
      <w:pPr>
        <w:spacing w:line="259" w:lineRule="auto"/>
        <w:rPr>
          <w:rFonts w:eastAsiaTheme="minorEastAsia"/>
        </w:rPr>
      </w:pPr>
    </w:p>
    <w:p w14:paraId="11361217" w14:textId="2C086BC3" w:rsidR="00353474" w:rsidRDefault="00353474" w:rsidP="5C0AF1C9">
      <w:pPr>
        <w:pStyle w:val="ListParagraph"/>
        <w:numPr>
          <w:ilvl w:val="0"/>
          <w:numId w:val="25"/>
        </w:numPr>
        <w:rPr>
          <w:rFonts w:eastAsiaTheme="minorEastAsia"/>
          <w:b/>
          <w:bCs/>
        </w:rPr>
      </w:pPr>
      <w:r w:rsidRPr="5C0AF1C9">
        <w:rPr>
          <w:rFonts w:eastAsiaTheme="minorEastAsia"/>
          <w:b/>
          <w:bCs/>
        </w:rPr>
        <w:t>Purpose</w:t>
      </w:r>
    </w:p>
    <w:p w14:paraId="312B535B" w14:textId="35AAF961" w:rsidR="00E87A60" w:rsidRPr="00353474" w:rsidRDefault="235ECA9A" w:rsidP="6F9EAC04">
      <w:pPr>
        <w:pStyle w:val="ListParagraph"/>
        <w:numPr>
          <w:ilvl w:val="1"/>
          <w:numId w:val="25"/>
        </w:numPr>
        <w:rPr>
          <w:rFonts w:eastAsiaTheme="minorEastAsia"/>
        </w:rPr>
      </w:pPr>
      <w:r w:rsidRPr="6F9EAC04">
        <w:rPr>
          <w:rFonts w:eastAsiaTheme="minorEastAsia"/>
        </w:rPr>
        <w:t xml:space="preserve">This </w:t>
      </w:r>
      <w:r w:rsidR="00C866B3" w:rsidRPr="6F9EAC04">
        <w:rPr>
          <w:rFonts w:eastAsiaTheme="minorEastAsia"/>
        </w:rPr>
        <w:t>policy sets</w:t>
      </w:r>
      <w:r w:rsidR="004E0435" w:rsidRPr="6F9EAC04">
        <w:rPr>
          <w:rFonts w:eastAsiaTheme="minorEastAsia"/>
        </w:rPr>
        <w:t xml:space="preserve"> out the principles and </w:t>
      </w:r>
      <w:r w:rsidR="7C9FCE13" w:rsidRPr="6F9EAC04">
        <w:rPr>
          <w:rFonts w:eastAsiaTheme="minorEastAsia"/>
        </w:rPr>
        <w:t>reference procedure</w:t>
      </w:r>
      <w:r w:rsidR="004E0435" w:rsidRPr="6F9EAC04">
        <w:rPr>
          <w:rFonts w:eastAsiaTheme="minorEastAsia"/>
        </w:rPr>
        <w:t xml:space="preserve"> which </w:t>
      </w:r>
      <w:r w:rsidR="24230461" w:rsidRPr="6F9EAC04">
        <w:rPr>
          <w:rFonts w:eastAsiaTheme="minorEastAsia"/>
        </w:rPr>
        <w:t>ICMP</w:t>
      </w:r>
      <w:r w:rsidR="5E2B6C9F" w:rsidRPr="6F9EAC04">
        <w:rPr>
          <w:rFonts w:eastAsiaTheme="minorEastAsia"/>
        </w:rPr>
        <w:t xml:space="preserve"> will apply to purchase the goods and services which aid its business operation.</w:t>
      </w:r>
    </w:p>
    <w:p w14:paraId="6032D6E5" w14:textId="30991B49" w:rsidR="00E87A60" w:rsidRPr="00353474" w:rsidRDefault="00E87A60" w:rsidP="5C0AF1C9">
      <w:pPr>
        <w:rPr>
          <w:rFonts w:eastAsiaTheme="minorEastAsia"/>
          <w:b/>
          <w:bCs/>
        </w:rPr>
      </w:pPr>
    </w:p>
    <w:p w14:paraId="068CF414" w14:textId="05F107D0" w:rsidR="00ED606E" w:rsidRPr="00353474" w:rsidRDefault="00596AA3" w:rsidP="5C0AF1C9">
      <w:pPr>
        <w:pStyle w:val="ListParagraph"/>
        <w:numPr>
          <w:ilvl w:val="1"/>
          <w:numId w:val="25"/>
        </w:numPr>
        <w:rPr>
          <w:rFonts w:eastAsiaTheme="minorEastAsia"/>
        </w:rPr>
      </w:pPr>
      <w:r>
        <w:rPr>
          <w:rFonts w:eastAsiaTheme="minorEastAsia"/>
          <w:b/>
          <w:bCs/>
          <w:u w:val="single"/>
        </w:rPr>
        <w:t>Promoting</w:t>
      </w:r>
      <w:r w:rsidR="5C0F9DE7" w:rsidRPr="5C0AF1C9">
        <w:rPr>
          <w:rFonts w:eastAsiaTheme="minorEastAsia"/>
          <w:b/>
          <w:bCs/>
          <w:u w:val="single"/>
        </w:rPr>
        <w:t xml:space="preserve"> </w:t>
      </w:r>
      <w:r w:rsidR="4E3B508A" w:rsidRPr="5C0AF1C9">
        <w:rPr>
          <w:rFonts w:eastAsiaTheme="minorEastAsia"/>
          <w:b/>
          <w:bCs/>
          <w:u w:val="single"/>
        </w:rPr>
        <w:t>good procurement practices through</w:t>
      </w:r>
      <w:r w:rsidR="4E3B508A" w:rsidRPr="5C0AF1C9">
        <w:rPr>
          <w:rFonts w:eastAsiaTheme="minorEastAsia"/>
        </w:rPr>
        <w:t>:</w:t>
      </w:r>
    </w:p>
    <w:p w14:paraId="56637CA4" w14:textId="38D477A0" w:rsidR="00ED606E" w:rsidRPr="00353474" w:rsidRDefault="00ED606E" w:rsidP="5C0AF1C9">
      <w:pPr>
        <w:rPr>
          <w:rFonts w:eastAsiaTheme="minorEastAsia"/>
        </w:rPr>
      </w:pPr>
    </w:p>
    <w:p w14:paraId="0C3DD19E" w14:textId="57CF07CE" w:rsidR="00ED606E" w:rsidRPr="00353474" w:rsidRDefault="4E3B508A" w:rsidP="5C0AF1C9">
      <w:pPr>
        <w:pStyle w:val="ListParagraph"/>
        <w:numPr>
          <w:ilvl w:val="2"/>
          <w:numId w:val="25"/>
        </w:numPr>
        <w:rPr>
          <w:rFonts w:eastAsiaTheme="minorEastAsia"/>
        </w:rPr>
      </w:pPr>
      <w:r w:rsidRPr="4A8184AC">
        <w:rPr>
          <w:rFonts w:eastAsiaTheme="minorEastAsia"/>
        </w:rPr>
        <w:t xml:space="preserve"> The application of an </w:t>
      </w:r>
      <w:proofErr w:type="spellStart"/>
      <w:r w:rsidRPr="4A8184AC">
        <w:rPr>
          <w:rFonts w:eastAsiaTheme="minorEastAsia"/>
        </w:rPr>
        <w:t>authorisation</w:t>
      </w:r>
      <w:proofErr w:type="spellEnd"/>
      <w:r w:rsidRPr="4A8184AC">
        <w:rPr>
          <w:rFonts w:eastAsiaTheme="minorEastAsia"/>
        </w:rPr>
        <w:t xml:space="preserve"> and responsibility </w:t>
      </w:r>
      <w:r w:rsidR="63D9EFAD" w:rsidRPr="4A8184AC">
        <w:rPr>
          <w:rFonts w:eastAsiaTheme="minorEastAsia"/>
        </w:rPr>
        <w:t xml:space="preserve">hierarchy (Table 1) </w:t>
      </w:r>
      <w:r w:rsidR="63D9EFAD" w:rsidRPr="4A8184AC">
        <w:rPr>
          <w:rFonts w:eastAsiaTheme="minorEastAsia"/>
          <w:i/>
          <w:iCs/>
        </w:rPr>
        <w:t>-</w:t>
      </w:r>
      <w:r w:rsidR="1946708F" w:rsidRPr="4A8184AC">
        <w:rPr>
          <w:rFonts w:eastAsiaTheme="minorEastAsia"/>
        </w:rPr>
        <w:t xml:space="preserve"> enabling only </w:t>
      </w:r>
      <w:r w:rsidR="0923EE32" w:rsidRPr="4A8184AC">
        <w:rPr>
          <w:rFonts w:eastAsiaTheme="minorEastAsia"/>
        </w:rPr>
        <w:t xml:space="preserve">budget heads and </w:t>
      </w:r>
      <w:r w:rsidR="00A01680">
        <w:rPr>
          <w:rFonts w:eastAsiaTheme="minorEastAsia"/>
        </w:rPr>
        <w:t>delegated</w:t>
      </w:r>
      <w:r w:rsidR="00A01680" w:rsidRPr="4A8184AC">
        <w:rPr>
          <w:rFonts w:eastAsiaTheme="minorEastAsia"/>
        </w:rPr>
        <w:t xml:space="preserve"> </w:t>
      </w:r>
      <w:r w:rsidR="00A01680">
        <w:rPr>
          <w:rFonts w:eastAsiaTheme="minorEastAsia"/>
        </w:rPr>
        <w:t>individuals</w:t>
      </w:r>
      <w:r w:rsidR="0923EE32" w:rsidRPr="4A8184AC">
        <w:rPr>
          <w:rFonts w:eastAsiaTheme="minorEastAsia"/>
        </w:rPr>
        <w:t xml:space="preserve"> to commit the business to </w:t>
      </w:r>
      <w:r w:rsidR="00A01680">
        <w:rPr>
          <w:rFonts w:eastAsiaTheme="minorEastAsia"/>
        </w:rPr>
        <w:t>approved</w:t>
      </w:r>
      <w:r w:rsidR="00A01680" w:rsidRPr="4A8184AC">
        <w:rPr>
          <w:rFonts w:eastAsiaTheme="minorEastAsia"/>
        </w:rPr>
        <w:t xml:space="preserve"> </w:t>
      </w:r>
      <w:r w:rsidR="0923EE32" w:rsidRPr="4A8184AC">
        <w:rPr>
          <w:rFonts w:eastAsiaTheme="minorEastAsia"/>
        </w:rPr>
        <w:t xml:space="preserve">expenditure and </w:t>
      </w:r>
      <w:r w:rsidR="00A01680">
        <w:rPr>
          <w:rFonts w:eastAsiaTheme="minorEastAsia"/>
        </w:rPr>
        <w:t xml:space="preserve">to </w:t>
      </w:r>
      <w:r w:rsidR="0923EE32" w:rsidRPr="4A8184AC">
        <w:rPr>
          <w:rFonts w:eastAsiaTheme="minorEastAsia"/>
        </w:rPr>
        <w:t>be responsible for ensuring good procurement practices.</w:t>
      </w:r>
    </w:p>
    <w:p w14:paraId="465475A3" w14:textId="2A1BCD48" w:rsidR="00ED606E" w:rsidRPr="00353474" w:rsidRDefault="00ED606E" w:rsidP="5C0AF1C9">
      <w:pPr>
        <w:ind w:left="360"/>
        <w:rPr>
          <w:rFonts w:eastAsiaTheme="minorEastAsia"/>
        </w:rPr>
      </w:pPr>
    </w:p>
    <w:p w14:paraId="123E491C" w14:textId="317C1FC6" w:rsidR="00ED606E" w:rsidRPr="00353474" w:rsidRDefault="76CCBDA9" w:rsidP="5C0AF1C9">
      <w:pPr>
        <w:pStyle w:val="ListParagraph"/>
        <w:numPr>
          <w:ilvl w:val="2"/>
          <w:numId w:val="25"/>
        </w:numPr>
        <w:rPr>
          <w:rFonts w:eastAsiaTheme="minorEastAsia"/>
        </w:rPr>
      </w:pPr>
      <w:r w:rsidRPr="4A8184AC">
        <w:rPr>
          <w:rFonts w:eastAsiaTheme="minorEastAsia"/>
        </w:rPr>
        <w:t xml:space="preserve"> The use of </w:t>
      </w:r>
      <w:r w:rsidR="00A01680">
        <w:rPr>
          <w:rFonts w:eastAsiaTheme="minorEastAsia"/>
        </w:rPr>
        <w:t>the</w:t>
      </w:r>
      <w:r w:rsidR="00A01680" w:rsidRPr="4A8184AC">
        <w:rPr>
          <w:rFonts w:eastAsiaTheme="minorEastAsia"/>
        </w:rPr>
        <w:t xml:space="preserve"> </w:t>
      </w:r>
      <w:r w:rsidRPr="4A8184AC">
        <w:rPr>
          <w:rFonts w:eastAsiaTheme="minorEastAsia"/>
        </w:rPr>
        <w:t xml:space="preserve">Purchase Order (PO) system - this </w:t>
      </w:r>
      <w:r w:rsidR="00A01680">
        <w:rPr>
          <w:rFonts w:eastAsiaTheme="minorEastAsia"/>
        </w:rPr>
        <w:t>provides</w:t>
      </w:r>
      <w:r w:rsidRPr="4A8184AC">
        <w:rPr>
          <w:rFonts w:eastAsiaTheme="minorEastAsia"/>
        </w:rPr>
        <w:t xml:space="preserve"> a clear and guided sign-off process for any subordinate who may order a good or service. Before the expenditure is </w:t>
      </w:r>
      <w:proofErr w:type="spellStart"/>
      <w:r w:rsidRPr="4A8184AC">
        <w:rPr>
          <w:rFonts w:eastAsiaTheme="minorEastAsia"/>
        </w:rPr>
        <w:t>authorised</w:t>
      </w:r>
      <w:proofErr w:type="spellEnd"/>
      <w:r w:rsidRPr="4A8184AC">
        <w:rPr>
          <w:rFonts w:eastAsiaTheme="minorEastAsia"/>
        </w:rPr>
        <w:t xml:space="preserve"> </w:t>
      </w:r>
      <w:r w:rsidR="00596AA3">
        <w:rPr>
          <w:rFonts w:eastAsiaTheme="minorEastAsia"/>
        </w:rPr>
        <w:t xml:space="preserve">it is </w:t>
      </w:r>
      <w:r w:rsidRPr="4A8184AC">
        <w:rPr>
          <w:rFonts w:eastAsiaTheme="minorEastAsia"/>
        </w:rPr>
        <w:t xml:space="preserve">the responsibility of the buyer to ensure that </w:t>
      </w:r>
      <w:r w:rsidR="00596AA3">
        <w:rPr>
          <w:rFonts w:eastAsiaTheme="minorEastAsia"/>
        </w:rPr>
        <w:t>this policy has been followed</w:t>
      </w:r>
      <w:r w:rsidRPr="4A8184AC">
        <w:rPr>
          <w:rFonts w:eastAsiaTheme="minorEastAsia"/>
        </w:rPr>
        <w:t>. In an instance where a PO generation is not possible, the same principles will apply, only to be replaced with physical or electronic signatories.</w:t>
      </w:r>
    </w:p>
    <w:p w14:paraId="2226A45B" w14:textId="3342B7F3" w:rsidR="00ED606E" w:rsidRPr="00353474" w:rsidRDefault="00ED606E" w:rsidP="5C0AF1C9">
      <w:pPr>
        <w:ind w:left="360"/>
        <w:rPr>
          <w:rFonts w:eastAsiaTheme="minorEastAsia"/>
        </w:rPr>
      </w:pPr>
    </w:p>
    <w:p w14:paraId="18CBF90F" w14:textId="637A361D" w:rsidR="00ED606E" w:rsidRPr="00B85769" w:rsidRDefault="76CCBDA9" w:rsidP="00596AA3">
      <w:pPr>
        <w:pStyle w:val="ListParagraph"/>
        <w:numPr>
          <w:ilvl w:val="2"/>
          <w:numId w:val="25"/>
        </w:numPr>
        <w:rPr>
          <w:rFonts w:eastAsiaTheme="minorEastAsia"/>
        </w:rPr>
      </w:pPr>
      <w:r w:rsidRPr="5C0AF1C9">
        <w:rPr>
          <w:rFonts w:eastAsiaTheme="minorEastAsia"/>
        </w:rPr>
        <w:t xml:space="preserve"> </w:t>
      </w:r>
      <w:r w:rsidR="00596AA3">
        <w:rPr>
          <w:rFonts w:eastAsiaTheme="minorEastAsia"/>
        </w:rPr>
        <w:t xml:space="preserve">The raising of awareness through the </w:t>
      </w:r>
      <w:r w:rsidR="00B85769">
        <w:rPr>
          <w:rFonts w:eastAsiaTheme="minorEastAsia"/>
        </w:rPr>
        <w:t>provision</w:t>
      </w:r>
      <w:r w:rsidR="00596AA3">
        <w:rPr>
          <w:rFonts w:eastAsiaTheme="minorEastAsia"/>
        </w:rPr>
        <w:t xml:space="preserve"> </w:t>
      </w:r>
      <w:r w:rsidR="00B85769">
        <w:rPr>
          <w:rFonts w:eastAsiaTheme="minorEastAsia"/>
        </w:rPr>
        <w:t>of mandatory</w:t>
      </w:r>
      <w:r w:rsidR="00596AA3">
        <w:rPr>
          <w:rFonts w:eastAsiaTheme="minorEastAsia"/>
        </w:rPr>
        <w:t xml:space="preserve"> </w:t>
      </w:r>
      <w:r w:rsidRPr="5C0AF1C9">
        <w:rPr>
          <w:rFonts w:eastAsiaTheme="minorEastAsia"/>
        </w:rPr>
        <w:t xml:space="preserve">training </w:t>
      </w:r>
      <w:r w:rsidR="00596AA3">
        <w:rPr>
          <w:rFonts w:eastAsiaTheme="minorEastAsia"/>
        </w:rPr>
        <w:t>regarding the</w:t>
      </w:r>
      <w:r w:rsidR="00596AA3" w:rsidRPr="5C0AF1C9">
        <w:rPr>
          <w:rFonts w:eastAsiaTheme="minorEastAsia"/>
        </w:rPr>
        <w:t xml:space="preserve"> </w:t>
      </w:r>
      <w:r w:rsidRPr="5C0AF1C9">
        <w:rPr>
          <w:rFonts w:eastAsiaTheme="minorEastAsia"/>
        </w:rPr>
        <w:t xml:space="preserve">relevant areas of legal compliance </w:t>
      </w:r>
      <w:r w:rsidR="00596AA3">
        <w:rPr>
          <w:rFonts w:eastAsiaTheme="minorEastAsia"/>
        </w:rPr>
        <w:t>and</w:t>
      </w:r>
      <w:r w:rsidR="00B85769">
        <w:rPr>
          <w:rFonts w:eastAsiaTheme="minorEastAsia"/>
        </w:rPr>
        <w:t xml:space="preserve"> </w:t>
      </w:r>
      <w:r w:rsidR="00596AA3">
        <w:rPr>
          <w:rFonts w:eastAsiaTheme="minorEastAsia"/>
        </w:rPr>
        <w:t>with</w:t>
      </w:r>
      <w:r w:rsidR="00B85769">
        <w:rPr>
          <w:rFonts w:eastAsiaTheme="minorEastAsia"/>
        </w:rPr>
        <w:t xml:space="preserve"> </w:t>
      </w:r>
      <w:r w:rsidRPr="00B85769">
        <w:rPr>
          <w:rFonts w:eastAsiaTheme="minorEastAsia"/>
        </w:rPr>
        <w:t xml:space="preserve">reference to </w:t>
      </w:r>
      <w:r w:rsidR="00596AA3" w:rsidRPr="00B85769">
        <w:rPr>
          <w:rFonts w:eastAsiaTheme="minorEastAsia"/>
        </w:rPr>
        <w:t xml:space="preserve">ICMP’s </w:t>
      </w:r>
      <w:r w:rsidRPr="00B85769">
        <w:rPr>
          <w:rFonts w:eastAsiaTheme="minorEastAsia"/>
        </w:rPr>
        <w:t xml:space="preserve">Anti-Bribery and Corruption (ABC Policy) and </w:t>
      </w:r>
      <w:r w:rsidR="00596AA3" w:rsidRPr="00B85769">
        <w:rPr>
          <w:rFonts w:eastAsiaTheme="minorEastAsia"/>
        </w:rPr>
        <w:t xml:space="preserve">the </w:t>
      </w:r>
      <w:r w:rsidRPr="00B85769">
        <w:rPr>
          <w:rFonts w:eastAsiaTheme="minorEastAsia"/>
        </w:rPr>
        <w:t>Criminal Finance Act 2017</w:t>
      </w:r>
      <w:r w:rsidR="00596AA3" w:rsidRPr="00B85769">
        <w:rPr>
          <w:rFonts w:eastAsiaTheme="minorEastAsia"/>
        </w:rPr>
        <w:t>.</w:t>
      </w:r>
      <w:r w:rsidRPr="00B85769">
        <w:rPr>
          <w:rFonts w:eastAsiaTheme="minorEastAsia"/>
        </w:rPr>
        <w:t xml:space="preserve"> ().</w:t>
      </w:r>
    </w:p>
    <w:p w14:paraId="0953377A" w14:textId="169F64A6" w:rsidR="00ED606E" w:rsidRPr="00353474" w:rsidRDefault="00ED606E" w:rsidP="5C0AF1C9">
      <w:pPr>
        <w:ind w:left="360"/>
        <w:rPr>
          <w:rFonts w:eastAsiaTheme="minorEastAsia"/>
        </w:rPr>
      </w:pPr>
    </w:p>
    <w:p w14:paraId="52FE39DE" w14:textId="56D4021E" w:rsidR="00ED606E" w:rsidRPr="00353474" w:rsidRDefault="0923EE32" w:rsidP="5C0AF1C9">
      <w:pPr>
        <w:pStyle w:val="ListParagraph"/>
        <w:numPr>
          <w:ilvl w:val="2"/>
          <w:numId w:val="25"/>
        </w:numPr>
        <w:rPr>
          <w:rFonts w:eastAsiaTheme="minorEastAsia"/>
          <w:color w:val="000000" w:themeColor="text1"/>
        </w:rPr>
      </w:pPr>
      <w:r w:rsidRPr="6F9EAC04">
        <w:rPr>
          <w:rFonts w:eastAsiaTheme="minorEastAsia"/>
        </w:rPr>
        <w:t xml:space="preserve"> </w:t>
      </w:r>
      <w:r w:rsidR="00596AA3">
        <w:rPr>
          <w:rFonts w:eastAsiaTheme="minorEastAsia"/>
        </w:rPr>
        <w:t>Consideration</w:t>
      </w:r>
      <w:r w:rsidRPr="6F9EAC04">
        <w:rPr>
          <w:rFonts w:eastAsiaTheme="minorEastAsia"/>
        </w:rPr>
        <w:t xml:space="preserve"> of the ICMP </w:t>
      </w:r>
      <w:r w:rsidR="00596AA3">
        <w:rPr>
          <w:rFonts w:eastAsiaTheme="minorEastAsia"/>
        </w:rPr>
        <w:t>‘</w:t>
      </w:r>
      <w:r w:rsidRPr="6F9EAC04">
        <w:rPr>
          <w:rFonts w:eastAsiaTheme="minorEastAsia"/>
        </w:rPr>
        <w:t>6</w:t>
      </w:r>
      <w:r w:rsidR="0CD5EAA7" w:rsidRPr="6F9EAC04">
        <w:rPr>
          <w:rFonts w:eastAsiaTheme="minorEastAsia"/>
        </w:rPr>
        <w:t>-point</w:t>
      </w:r>
      <w:r w:rsidR="62523EEA" w:rsidRPr="6F9EAC04">
        <w:rPr>
          <w:rFonts w:eastAsiaTheme="minorEastAsia"/>
        </w:rPr>
        <w:t xml:space="preserve"> procurement</w:t>
      </w:r>
      <w:r w:rsidRPr="6F9EAC04">
        <w:rPr>
          <w:rFonts w:eastAsiaTheme="minorEastAsia"/>
        </w:rPr>
        <w:t xml:space="preserve"> principles</w:t>
      </w:r>
      <w:r w:rsidR="00596AA3">
        <w:rPr>
          <w:rFonts w:eastAsiaTheme="minorEastAsia"/>
        </w:rPr>
        <w:t>’</w:t>
      </w:r>
      <w:r w:rsidRPr="6F9EAC04">
        <w:rPr>
          <w:rFonts w:eastAsiaTheme="minorEastAsia"/>
        </w:rPr>
        <w:t>:</w:t>
      </w:r>
      <w:r w:rsidR="00596AA3">
        <w:rPr>
          <w:rFonts w:eastAsiaTheme="minorEastAsia"/>
        </w:rPr>
        <w:br/>
      </w:r>
    </w:p>
    <w:p w14:paraId="12DED52F" w14:textId="37A68CEB" w:rsidR="00ED606E" w:rsidRPr="004E4A20" w:rsidRDefault="005D4E73" w:rsidP="5C0AF1C9">
      <w:pPr>
        <w:pStyle w:val="ListParagraph"/>
        <w:numPr>
          <w:ilvl w:val="3"/>
          <w:numId w:val="25"/>
        </w:numPr>
        <w:rPr>
          <w:rFonts w:eastAsiaTheme="minorEastAsia"/>
          <w:color w:val="000000" w:themeColor="text1"/>
        </w:rPr>
      </w:pPr>
      <w:r>
        <w:rPr>
          <w:rFonts w:eastAsiaTheme="minorEastAsia"/>
          <w:b/>
          <w:bCs/>
        </w:rPr>
        <w:t xml:space="preserve">1. </w:t>
      </w:r>
      <w:r w:rsidR="27D54494" w:rsidRPr="6F9EAC04">
        <w:rPr>
          <w:rFonts w:eastAsiaTheme="minorEastAsia"/>
          <w:b/>
          <w:bCs/>
        </w:rPr>
        <w:t>Relationship</w:t>
      </w:r>
      <w:r w:rsidR="27D54494" w:rsidRPr="6F9EAC04">
        <w:rPr>
          <w:rFonts w:eastAsiaTheme="minorEastAsia"/>
        </w:rPr>
        <w:t xml:space="preserve"> </w:t>
      </w:r>
      <w:r w:rsidR="00B36E06">
        <w:rPr>
          <w:rFonts w:eastAsiaTheme="minorEastAsia"/>
        </w:rPr>
        <w:t>–</w:t>
      </w:r>
      <w:r w:rsidR="27D54494" w:rsidRPr="6F9EAC04">
        <w:rPr>
          <w:rFonts w:eastAsiaTheme="minorEastAsia"/>
        </w:rPr>
        <w:t xml:space="preserve"> </w:t>
      </w:r>
      <w:r w:rsidR="00B85769">
        <w:rPr>
          <w:rFonts w:eastAsiaTheme="minorEastAsia"/>
        </w:rPr>
        <w:t>Procurement</w:t>
      </w:r>
      <w:r w:rsidR="00B36E06">
        <w:rPr>
          <w:rFonts w:eastAsiaTheme="minorEastAsia"/>
        </w:rPr>
        <w:t xml:space="preserve"> requires b</w:t>
      </w:r>
      <w:r w:rsidR="27D54494" w:rsidRPr="6F9EAC04">
        <w:rPr>
          <w:rFonts w:eastAsiaTheme="minorEastAsia"/>
        </w:rPr>
        <w:t>uilding</w:t>
      </w:r>
      <w:r w:rsidR="6F17C889" w:rsidRPr="6F9EAC04">
        <w:rPr>
          <w:rFonts w:eastAsiaTheme="minorEastAsia"/>
        </w:rPr>
        <w:t xml:space="preserve"> good relationships with suppliers and stakeholders</w:t>
      </w:r>
      <w:r w:rsidR="00B36E06">
        <w:rPr>
          <w:rFonts w:eastAsiaTheme="minorEastAsia"/>
        </w:rPr>
        <w:t xml:space="preserve"> and u</w:t>
      </w:r>
      <w:r w:rsidR="6F17C889" w:rsidRPr="6F9EAC04">
        <w:rPr>
          <w:rFonts w:eastAsiaTheme="minorEastAsia"/>
        </w:rPr>
        <w:t xml:space="preserve">nderstanding who knows the market. </w:t>
      </w:r>
      <w:r w:rsidR="00B36E06">
        <w:rPr>
          <w:rFonts w:eastAsiaTheme="minorEastAsia"/>
        </w:rPr>
        <w:t>Buyers</w:t>
      </w:r>
      <w:r w:rsidR="00B85769">
        <w:rPr>
          <w:rFonts w:eastAsiaTheme="minorEastAsia"/>
        </w:rPr>
        <w:t xml:space="preserve"> understand that they must</w:t>
      </w:r>
      <w:r w:rsidR="00B36E06">
        <w:rPr>
          <w:rFonts w:eastAsiaTheme="minorEastAsia"/>
        </w:rPr>
        <w:t xml:space="preserve"> declare</w:t>
      </w:r>
      <w:r w:rsidR="6F17C889" w:rsidRPr="6F9EAC04">
        <w:rPr>
          <w:rFonts w:eastAsiaTheme="minorEastAsia"/>
        </w:rPr>
        <w:t xml:space="preserve"> all related party transactions</w:t>
      </w:r>
      <w:r w:rsidR="00B85769">
        <w:rPr>
          <w:rFonts w:eastAsiaTheme="minorEastAsia"/>
        </w:rPr>
        <w:t>.</w:t>
      </w:r>
    </w:p>
    <w:p w14:paraId="2FB213FF" w14:textId="77777777" w:rsidR="004E4A20" w:rsidRPr="00353474" w:rsidRDefault="004E4A20" w:rsidP="004E4A20">
      <w:pPr>
        <w:pStyle w:val="ListParagraph"/>
        <w:ind w:left="1728"/>
        <w:rPr>
          <w:rFonts w:eastAsiaTheme="minorEastAsia"/>
          <w:color w:val="000000" w:themeColor="text1"/>
        </w:rPr>
      </w:pPr>
    </w:p>
    <w:p w14:paraId="43CFAE34" w14:textId="451952E4" w:rsidR="00ED606E" w:rsidRPr="00353474" w:rsidRDefault="005D4E73" w:rsidP="5C0AF1C9">
      <w:pPr>
        <w:pStyle w:val="ListParagraph"/>
        <w:numPr>
          <w:ilvl w:val="3"/>
          <w:numId w:val="25"/>
        </w:numPr>
        <w:rPr>
          <w:rFonts w:eastAsiaTheme="minorEastAsia"/>
          <w:color w:val="000000" w:themeColor="text1"/>
        </w:rPr>
      </w:pPr>
      <w:r>
        <w:rPr>
          <w:rFonts w:eastAsiaTheme="minorEastAsia"/>
          <w:b/>
          <w:bCs/>
        </w:rPr>
        <w:t xml:space="preserve">2. </w:t>
      </w:r>
      <w:r w:rsidR="6F17C889" w:rsidRPr="6F9EAC04">
        <w:rPr>
          <w:rFonts w:eastAsiaTheme="minorEastAsia"/>
          <w:b/>
          <w:bCs/>
        </w:rPr>
        <w:t>Negotiation</w:t>
      </w:r>
      <w:r w:rsidR="6F17C889" w:rsidRPr="6F9EAC04">
        <w:rPr>
          <w:rFonts w:eastAsiaTheme="minorEastAsia"/>
        </w:rPr>
        <w:t xml:space="preserve"> - </w:t>
      </w:r>
      <w:r w:rsidR="00B36E06">
        <w:rPr>
          <w:rFonts w:eastAsiaTheme="minorEastAsia"/>
        </w:rPr>
        <w:t>Buyers</w:t>
      </w:r>
      <w:r w:rsidR="00B36E06" w:rsidRPr="6F9EAC04">
        <w:rPr>
          <w:rFonts w:eastAsiaTheme="minorEastAsia"/>
        </w:rPr>
        <w:t xml:space="preserve"> </w:t>
      </w:r>
      <w:r w:rsidR="6F17C889" w:rsidRPr="6F9EAC04">
        <w:rPr>
          <w:rFonts w:eastAsiaTheme="minorEastAsia"/>
        </w:rPr>
        <w:t xml:space="preserve">always drive </w:t>
      </w:r>
      <w:r w:rsidR="4A2DD52A" w:rsidRPr="6F9EAC04">
        <w:rPr>
          <w:rFonts w:eastAsiaTheme="minorEastAsia"/>
        </w:rPr>
        <w:t>excellent value</w:t>
      </w:r>
      <w:r w:rsidR="6F17C889" w:rsidRPr="6F9EAC04">
        <w:rPr>
          <w:rFonts w:eastAsiaTheme="minorEastAsia"/>
        </w:rPr>
        <w:t xml:space="preserve"> for money (VFM).</w:t>
      </w:r>
      <w:r w:rsidR="00596AA3">
        <w:rPr>
          <w:rFonts w:eastAsiaTheme="minorEastAsia"/>
        </w:rPr>
        <w:br/>
      </w:r>
    </w:p>
    <w:p w14:paraId="764D6F87" w14:textId="6C118FCB" w:rsidR="00ED606E" w:rsidRPr="00353474" w:rsidRDefault="005D4E73" w:rsidP="5C0AF1C9">
      <w:pPr>
        <w:pStyle w:val="ListParagraph"/>
        <w:numPr>
          <w:ilvl w:val="3"/>
          <w:numId w:val="25"/>
        </w:numPr>
        <w:rPr>
          <w:rFonts w:eastAsiaTheme="minorEastAsia"/>
          <w:color w:val="000000" w:themeColor="text1"/>
        </w:rPr>
      </w:pPr>
      <w:r>
        <w:rPr>
          <w:rFonts w:eastAsiaTheme="minorEastAsia"/>
          <w:b/>
          <w:bCs/>
        </w:rPr>
        <w:t xml:space="preserve">3. </w:t>
      </w:r>
      <w:r w:rsidR="6F17C889" w:rsidRPr="6F9EAC04">
        <w:rPr>
          <w:rFonts w:eastAsiaTheme="minorEastAsia"/>
          <w:b/>
          <w:bCs/>
        </w:rPr>
        <w:t>Knowledge</w:t>
      </w:r>
      <w:r w:rsidR="6F17C889" w:rsidRPr="6F9EAC04">
        <w:rPr>
          <w:rFonts w:eastAsiaTheme="minorEastAsia"/>
        </w:rPr>
        <w:t xml:space="preserve"> - Promoting budget heads to only </w:t>
      </w:r>
      <w:r w:rsidR="7212B6F2" w:rsidRPr="6F9EAC04">
        <w:rPr>
          <w:rFonts w:eastAsiaTheme="minorEastAsia"/>
        </w:rPr>
        <w:t>purchase in</w:t>
      </w:r>
      <w:r w:rsidR="5CB49246" w:rsidRPr="6F9EAC04">
        <w:rPr>
          <w:rFonts w:eastAsiaTheme="minorEastAsia"/>
        </w:rPr>
        <w:t xml:space="preserve"> their own areas of interest and expertise, </w:t>
      </w:r>
      <w:r w:rsidR="00B36E06">
        <w:rPr>
          <w:rFonts w:eastAsiaTheme="minorEastAsia"/>
        </w:rPr>
        <w:t xml:space="preserve">ensuring </w:t>
      </w:r>
      <w:r w:rsidR="004E4A20">
        <w:rPr>
          <w:rFonts w:eastAsiaTheme="minorEastAsia"/>
        </w:rPr>
        <w:t xml:space="preserve">sound </w:t>
      </w:r>
      <w:r w:rsidR="004E4A20" w:rsidRPr="6F9EAC04">
        <w:rPr>
          <w:rFonts w:eastAsiaTheme="minorEastAsia"/>
        </w:rPr>
        <w:t>knowledge</w:t>
      </w:r>
      <w:r w:rsidR="5CB49246" w:rsidRPr="6F9EAC04">
        <w:rPr>
          <w:rFonts w:eastAsiaTheme="minorEastAsia"/>
        </w:rPr>
        <w:t xml:space="preserve"> behind the acquisition.</w:t>
      </w:r>
      <w:r w:rsidR="00596AA3">
        <w:rPr>
          <w:rFonts w:eastAsiaTheme="minorEastAsia"/>
        </w:rPr>
        <w:br/>
      </w:r>
    </w:p>
    <w:p w14:paraId="4E831A5F" w14:textId="4D8958C0" w:rsidR="00ED606E" w:rsidRPr="00353474" w:rsidRDefault="005D4E73" w:rsidP="5C0AF1C9">
      <w:pPr>
        <w:pStyle w:val="ListParagraph"/>
        <w:numPr>
          <w:ilvl w:val="3"/>
          <w:numId w:val="25"/>
        </w:numPr>
        <w:rPr>
          <w:rFonts w:eastAsiaTheme="minorEastAsia"/>
          <w:color w:val="000000" w:themeColor="text1"/>
        </w:rPr>
      </w:pPr>
      <w:r>
        <w:rPr>
          <w:rFonts w:eastAsiaTheme="minorEastAsia"/>
          <w:b/>
          <w:bCs/>
        </w:rPr>
        <w:t xml:space="preserve">4. </w:t>
      </w:r>
      <w:r w:rsidR="3A3EAEF8" w:rsidRPr="6F9EAC04">
        <w:rPr>
          <w:rFonts w:eastAsiaTheme="minorEastAsia"/>
          <w:b/>
          <w:bCs/>
        </w:rPr>
        <w:t>Competition</w:t>
      </w:r>
      <w:r w:rsidR="3A3EAEF8" w:rsidRPr="6F9EAC04">
        <w:rPr>
          <w:rFonts w:eastAsiaTheme="minorEastAsia"/>
        </w:rPr>
        <w:t xml:space="preserve"> </w:t>
      </w:r>
      <w:r w:rsidR="00B36E06">
        <w:rPr>
          <w:rFonts w:eastAsiaTheme="minorEastAsia"/>
        </w:rPr>
        <w:t>–</w:t>
      </w:r>
      <w:r w:rsidR="3A3EAEF8" w:rsidRPr="6F9EAC04">
        <w:rPr>
          <w:rFonts w:eastAsiaTheme="minorEastAsia"/>
        </w:rPr>
        <w:t xml:space="preserve"> </w:t>
      </w:r>
      <w:r w:rsidR="003B0E63">
        <w:rPr>
          <w:rFonts w:eastAsiaTheme="minorEastAsia"/>
        </w:rPr>
        <w:t>Buyers</w:t>
      </w:r>
      <w:r w:rsidR="00B36E06">
        <w:rPr>
          <w:rFonts w:eastAsiaTheme="minorEastAsia"/>
        </w:rPr>
        <w:t xml:space="preserve"> ensure </w:t>
      </w:r>
      <w:r w:rsidR="3A3EAEF8" w:rsidRPr="6F9EAC04">
        <w:rPr>
          <w:rFonts w:eastAsiaTheme="minorEastAsia"/>
        </w:rPr>
        <w:t>the appropriate level of competition, quotes and or tenders</w:t>
      </w:r>
      <w:r w:rsidR="00B36E06">
        <w:rPr>
          <w:rFonts w:eastAsiaTheme="minorEastAsia"/>
        </w:rPr>
        <w:t xml:space="preserve"> for procurement</w:t>
      </w:r>
      <w:r w:rsidR="00596AA3">
        <w:rPr>
          <w:rFonts w:eastAsiaTheme="minorEastAsia"/>
        </w:rPr>
        <w:br/>
      </w:r>
    </w:p>
    <w:p w14:paraId="4FA56768" w14:textId="3FD0067E" w:rsidR="00ED606E" w:rsidRPr="00353474" w:rsidRDefault="005D4E73" w:rsidP="4A8184AC">
      <w:pPr>
        <w:pStyle w:val="ListParagraph"/>
        <w:numPr>
          <w:ilvl w:val="3"/>
          <w:numId w:val="25"/>
        </w:numPr>
        <w:rPr>
          <w:rFonts w:eastAsiaTheme="minorEastAsia"/>
          <w:color w:val="000000" w:themeColor="text1"/>
        </w:rPr>
      </w:pPr>
      <w:r>
        <w:rPr>
          <w:rFonts w:eastAsiaTheme="minorEastAsia"/>
          <w:b/>
          <w:bCs/>
        </w:rPr>
        <w:lastRenderedPageBreak/>
        <w:t xml:space="preserve">5. </w:t>
      </w:r>
      <w:r w:rsidR="6F548DE5" w:rsidRPr="4A8184AC">
        <w:rPr>
          <w:rFonts w:eastAsiaTheme="minorEastAsia"/>
          <w:b/>
          <w:bCs/>
        </w:rPr>
        <w:t>Communication</w:t>
      </w:r>
      <w:r w:rsidR="6F548DE5" w:rsidRPr="4A8184AC">
        <w:rPr>
          <w:rFonts w:eastAsiaTheme="minorEastAsia"/>
        </w:rPr>
        <w:t xml:space="preserve"> – Ensuring that the ‘buyer’ has the correct </w:t>
      </w:r>
      <w:r w:rsidR="00B36E06">
        <w:rPr>
          <w:rFonts w:eastAsiaTheme="minorEastAsia"/>
        </w:rPr>
        <w:t xml:space="preserve">instructions and </w:t>
      </w:r>
      <w:r w:rsidR="6F548DE5" w:rsidRPr="4A8184AC">
        <w:rPr>
          <w:rFonts w:eastAsiaTheme="minorEastAsia"/>
        </w:rPr>
        <w:t>brief</w:t>
      </w:r>
      <w:r w:rsidR="00B36E06">
        <w:rPr>
          <w:rFonts w:eastAsiaTheme="minorEastAsia"/>
        </w:rPr>
        <w:t xml:space="preserve"> and</w:t>
      </w:r>
      <w:r w:rsidR="6F548DE5" w:rsidRPr="4A8184AC">
        <w:rPr>
          <w:rFonts w:eastAsiaTheme="minorEastAsia"/>
        </w:rPr>
        <w:t xml:space="preserve"> </w:t>
      </w:r>
      <w:r w:rsidR="00B36E06">
        <w:rPr>
          <w:rFonts w:eastAsiaTheme="minorEastAsia"/>
        </w:rPr>
        <w:t>k</w:t>
      </w:r>
      <w:r w:rsidR="6F548DE5" w:rsidRPr="4A8184AC">
        <w:rPr>
          <w:rFonts w:eastAsiaTheme="minorEastAsia"/>
        </w:rPr>
        <w:t xml:space="preserve">nowledge of the </w:t>
      </w:r>
      <w:r w:rsidR="00B36E06">
        <w:rPr>
          <w:rFonts w:eastAsiaTheme="minorEastAsia"/>
        </w:rPr>
        <w:t>appropriate</w:t>
      </w:r>
      <w:r w:rsidR="6F548DE5" w:rsidRPr="4A8184AC">
        <w:rPr>
          <w:rFonts w:eastAsiaTheme="minorEastAsia"/>
        </w:rPr>
        <w:t xml:space="preserve"> budget. </w:t>
      </w:r>
      <w:r w:rsidR="00596AA3">
        <w:rPr>
          <w:rFonts w:eastAsiaTheme="minorEastAsia"/>
        </w:rPr>
        <w:br/>
      </w:r>
    </w:p>
    <w:p w14:paraId="77A537D3" w14:textId="1ECA145E" w:rsidR="4A8184AC" w:rsidRDefault="005D4E73" w:rsidP="4A8184AC">
      <w:pPr>
        <w:pStyle w:val="ListParagraph"/>
        <w:numPr>
          <w:ilvl w:val="3"/>
          <w:numId w:val="25"/>
        </w:numPr>
        <w:rPr>
          <w:color w:val="000000" w:themeColor="text1"/>
        </w:rPr>
      </w:pPr>
      <w:r>
        <w:rPr>
          <w:rFonts w:eastAsiaTheme="minorEastAsia"/>
          <w:b/>
          <w:bCs/>
          <w:color w:val="000000" w:themeColor="text1"/>
        </w:rPr>
        <w:t xml:space="preserve">6. </w:t>
      </w:r>
      <w:r w:rsidR="4A8184AC" w:rsidRPr="4A8184AC">
        <w:rPr>
          <w:rFonts w:eastAsiaTheme="minorEastAsia"/>
          <w:b/>
          <w:bCs/>
          <w:color w:val="000000" w:themeColor="text1"/>
        </w:rPr>
        <w:t xml:space="preserve">Society and the Environment </w:t>
      </w:r>
      <w:r w:rsidR="004E4A20" w:rsidRPr="4A8184AC">
        <w:rPr>
          <w:rFonts w:eastAsiaTheme="minorEastAsia"/>
          <w:b/>
          <w:bCs/>
          <w:color w:val="000000" w:themeColor="text1"/>
        </w:rPr>
        <w:t xml:space="preserve">- </w:t>
      </w:r>
      <w:r w:rsidR="004E4A20" w:rsidRPr="4A8184AC">
        <w:rPr>
          <w:rFonts w:eastAsiaTheme="minorEastAsia"/>
          <w:color w:val="000000" w:themeColor="text1"/>
        </w:rPr>
        <w:t>Procurement</w:t>
      </w:r>
      <w:r w:rsidR="00B36E06">
        <w:rPr>
          <w:rFonts w:eastAsiaTheme="minorEastAsia"/>
          <w:color w:val="000000" w:themeColor="text1"/>
        </w:rPr>
        <w:t xml:space="preserve"> </w:t>
      </w:r>
      <w:r w:rsidR="004E4A20">
        <w:rPr>
          <w:rFonts w:eastAsiaTheme="minorEastAsia"/>
          <w:color w:val="000000" w:themeColor="text1"/>
        </w:rPr>
        <w:t>is in</w:t>
      </w:r>
      <w:r w:rsidR="00B36E06">
        <w:rPr>
          <w:rFonts w:eastAsiaTheme="minorEastAsia"/>
          <w:color w:val="000000" w:themeColor="text1"/>
        </w:rPr>
        <w:t xml:space="preserve"> </w:t>
      </w:r>
      <w:r w:rsidR="4A8184AC" w:rsidRPr="4A8184AC">
        <w:rPr>
          <w:rFonts w:eastAsiaTheme="minorEastAsia"/>
          <w:color w:val="000000" w:themeColor="text1"/>
        </w:rPr>
        <w:t xml:space="preserve">alignment with ICMP corporate strategy </w:t>
      </w:r>
      <w:r w:rsidR="00B36E06">
        <w:rPr>
          <w:rFonts w:eastAsiaTheme="minorEastAsia"/>
          <w:color w:val="000000" w:themeColor="text1"/>
        </w:rPr>
        <w:t>regarding</w:t>
      </w:r>
      <w:r w:rsidR="00B36E06" w:rsidRPr="4A8184AC">
        <w:rPr>
          <w:rFonts w:eastAsiaTheme="minorEastAsia"/>
          <w:color w:val="000000" w:themeColor="text1"/>
        </w:rPr>
        <w:t xml:space="preserve"> </w:t>
      </w:r>
      <w:r w:rsidR="4A8184AC" w:rsidRPr="4A8184AC">
        <w:rPr>
          <w:rFonts w:eastAsiaTheme="minorEastAsia"/>
          <w:color w:val="000000" w:themeColor="text1"/>
        </w:rPr>
        <w:t xml:space="preserve">societal and environmental outputs. </w:t>
      </w:r>
      <w:r w:rsidR="00E31075">
        <w:rPr>
          <w:rFonts w:eastAsiaTheme="minorEastAsia"/>
          <w:color w:val="000000" w:themeColor="text1"/>
        </w:rPr>
        <w:t>B</w:t>
      </w:r>
      <w:r w:rsidR="4A8184AC" w:rsidRPr="4A8184AC">
        <w:rPr>
          <w:rFonts w:eastAsiaTheme="minorEastAsia"/>
          <w:color w:val="000000" w:themeColor="text1"/>
        </w:rPr>
        <w:t>uyers</w:t>
      </w:r>
      <w:r w:rsidR="00E31075">
        <w:rPr>
          <w:rFonts w:eastAsiaTheme="minorEastAsia"/>
          <w:color w:val="000000" w:themeColor="text1"/>
        </w:rPr>
        <w:t xml:space="preserve"> understand</w:t>
      </w:r>
      <w:r w:rsidR="4A8184AC" w:rsidRPr="4A8184AC">
        <w:rPr>
          <w:rFonts w:eastAsiaTheme="minorEastAsia"/>
          <w:color w:val="000000" w:themeColor="text1"/>
        </w:rPr>
        <w:t xml:space="preserve"> that sustainability and environmental impact must be a serious and key consideration in the way and what we purchase.</w:t>
      </w:r>
    </w:p>
    <w:p w14:paraId="1653017C" w14:textId="69FE6371" w:rsidR="76CCBDA9" w:rsidRDefault="76CCBDA9" w:rsidP="5C0AF1C9">
      <w:pPr>
        <w:ind w:left="720"/>
        <w:rPr>
          <w:rFonts w:eastAsiaTheme="minorEastAsia"/>
        </w:rPr>
      </w:pPr>
    </w:p>
    <w:p w14:paraId="08584880" w14:textId="476B8A27" w:rsidR="19A0DE29" w:rsidRDefault="19A0DE29" w:rsidP="5C0AF1C9">
      <w:pPr>
        <w:pStyle w:val="ListParagraph"/>
        <w:numPr>
          <w:ilvl w:val="0"/>
          <w:numId w:val="25"/>
        </w:numPr>
        <w:rPr>
          <w:rFonts w:eastAsiaTheme="minorEastAsia"/>
          <w:b/>
          <w:bCs/>
        </w:rPr>
      </w:pPr>
      <w:r w:rsidRPr="5C0AF1C9">
        <w:rPr>
          <w:rFonts w:eastAsiaTheme="minorEastAsia"/>
          <w:b/>
          <w:bCs/>
        </w:rPr>
        <w:t>Scope</w:t>
      </w:r>
      <w:r w:rsidR="00E31075">
        <w:rPr>
          <w:rFonts w:eastAsiaTheme="minorEastAsia"/>
          <w:b/>
          <w:bCs/>
        </w:rPr>
        <w:br/>
      </w:r>
    </w:p>
    <w:p w14:paraId="060832FB" w14:textId="3F97C230" w:rsidR="5C0AF1C9" w:rsidRDefault="1E691CCF" w:rsidP="5C0AF1C9">
      <w:pPr>
        <w:spacing w:line="259" w:lineRule="auto"/>
        <w:rPr>
          <w:rFonts w:eastAsiaTheme="minorEastAsia"/>
        </w:rPr>
      </w:pPr>
      <w:r w:rsidRPr="5C0AF1C9">
        <w:rPr>
          <w:rFonts w:eastAsiaTheme="minorEastAsia"/>
        </w:rPr>
        <w:t>This policy applies to any</w:t>
      </w:r>
      <w:r w:rsidR="3411C399" w:rsidRPr="5C0AF1C9">
        <w:rPr>
          <w:rFonts w:eastAsiaTheme="minorEastAsia"/>
        </w:rPr>
        <w:t xml:space="preserve"> ICMP employee </w:t>
      </w:r>
      <w:r w:rsidR="481D3498" w:rsidRPr="5C0AF1C9">
        <w:rPr>
          <w:rFonts w:eastAsiaTheme="minorEastAsia"/>
        </w:rPr>
        <w:t>who</w:t>
      </w:r>
      <w:r w:rsidR="3411C399" w:rsidRPr="5C0AF1C9">
        <w:rPr>
          <w:rFonts w:eastAsiaTheme="minorEastAsia"/>
        </w:rPr>
        <w:t xml:space="preserve"> is </w:t>
      </w:r>
      <w:r w:rsidRPr="5C0AF1C9">
        <w:rPr>
          <w:rFonts w:eastAsiaTheme="minorEastAsia"/>
        </w:rPr>
        <w:t xml:space="preserve">responsible </w:t>
      </w:r>
      <w:r w:rsidR="0ACB92C0" w:rsidRPr="5C0AF1C9">
        <w:rPr>
          <w:rFonts w:eastAsiaTheme="minorEastAsia"/>
        </w:rPr>
        <w:t>for and</w:t>
      </w:r>
      <w:r w:rsidRPr="5C0AF1C9">
        <w:rPr>
          <w:rFonts w:eastAsiaTheme="minorEastAsia"/>
        </w:rPr>
        <w:t xml:space="preserve"> </w:t>
      </w:r>
      <w:proofErr w:type="spellStart"/>
      <w:r w:rsidRPr="5C0AF1C9">
        <w:rPr>
          <w:rFonts w:eastAsiaTheme="minorEastAsia"/>
        </w:rPr>
        <w:t>authorised</w:t>
      </w:r>
      <w:proofErr w:type="spellEnd"/>
      <w:r w:rsidRPr="5C0AF1C9">
        <w:rPr>
          <w:rFonts w:eastAsiaTheme="minorEastAsia"/>
        </w:rPr>
        <w:t xml:space="preserve"> to commit the business to any </w:t>
      </w:r>
      <w:r w:rsidR="057A74F0" w:rsidRPr="5C0AF1C9">
        <w:rPr>
          <w:rFonts w:eastAsiaTheme="minorEastAsia"/>
        </w:rPr>
        <w:t xml:space="preserve">form of </w:t>
      </w:r>
      <w:r w:rsidRPr="5C0AF1C9">
        <w:rPr>
          <w:rFonts w:eastAsiaTheme="minorEastAsia"/>
        </w:rPr>
        <w:t xml:space="preserve">expenditure. This will include but not be limited to supplies, capital equipment and </w:t>
      </w:r>
      <w:r w:rsidR="5C70D973" w:rsidRPr="5C0AF1C9">
        <w:rPr>
          <w:rFonts w:eastAsiaTheme="minorEastAsia"/>
        </w:rPr>
        <w:t>general expenditure</w:t>
      </w:r>
    </w:p>
    <w:p w14:paraId="3C01729F" w14:textId="77777777" w:rsidR="00D85647" w:rsidRDefault="00D85647" w:rsidP="5C0AF1C9">
      <w:pPr>
        <w:spacing w:line="259" w:lineRule="auto"/>
        <w:rPr>
          <w:rFonts w:eastAsiaTheme="minorEastAsia"/>
          <w:b/>
          <w:bCs/>
          <w:color w:val="000000" w:themeColor="text1"/>
        </w:rPr>
      </w:pPr>
    </w:p>
    <w:p w14:paraId="15BC3358" w14:textId="69027F4A" w:rsidR="00353474" w:rsidRDefault="19A0DE29" w:rsidP="5C0AF1C9">
      <w:pPr>
        <w:pStyle w:val="ListParagraph"/>
        <w:numPr>
          <w:ilvl w:val="0"/>
          <w:numId w:val="25"/>
        </w:numPr>
        <w:rPr>
          <w:rFonts w:eastAsiaTheme="minorEastAsia"/>
        </w:rPr>
      </w:pPr>
      <w:r w:rsidRPr="5C0AF1C9">
        <w:rPr>
          <w:rFonts w:eastAsiaTheme="minorEastAsia"/>
          <w:b/>
          <w:bCs/>
        </w:rPr>
        <w:t>Roles and Responsibilities</w:t>
      </w:r>
      <w:r w:rsidRPr="5C0AF1C9">
        <w:rPr>
          <w:rFonts w:eastAsiaTheme="minorEastAsia"/>
        </w:rPr>
        <w:t xml:space="preserve"> </w:t>
      </w:r>
    </w:p>
    <w:p w14:paraId="73879402" w14:textId="596641ED" w:rsidR="00E31075" w:rsidRDefault="5C0AF1C9" w:rsidP="00E31075">
      <w:pPr>
        <w:pStyle w:val="ListParagraph"/>
        <w:numPr>
          <w:ilvl w:val="1"/>
          <w:numId w:val="25"/>
        </w:numPr>
        <w:rPr>
          <w:rFonts w:eastAsiaTheme="minorEastAsia"/>
        </w:rPr>
      </w:pPr>
      <w:r w:rsidRPr="5C0AF1C9">
        <w:rPr>
          <w:rFonts w:eastAsiaTheme="minorEastAsia"/>
        </w:rPr>
        <w:t xml:space="preserve">The following table demonstrates the key roles that have responsibility for the business and respective operational areas of spend. </w:t>
      </w:r>
      <w:r w:rsidR="00E31075">
        <w:rPr>
          <w:rFonts w:eastAsiaTheme="minorEastAsia"/>
        </w:rPr>
        <w:br/>
      </w:r>
    </w:p>
    <w:p w14:paraId="28E89A4B" w14:textId="0DED6C84" w:rsidR="5C0AF1C9" w:rsidRPr="00D85647" w:rsidRDefault="5C0AF1C9" w:rsidP="00E31075">
      <w:pPr>
        <w:pStyle w:val="ListParagraph"/>
        <w:numPr>
          <w:ilvl w:val="1"/>
          <w:numId w:val="25"/>
        </w:numPr>
        <w:rPr>
          <w:rFonts w:eastAsiaTheme="minorEastAsia"/>
        </w:rPr>
      </w:pPr>
      <w:r w:rsidRPr="00D85647">
        <w:rPr>
          <w:rFonts w:eastAsiaTheme="minorEastAsia"/>
        </w:rPr>
        <w:t xml:space="preserve">Level 1 ‘buyers’ will be responsible for the training and competence of their level 2 and 3 subordinates to ensure </w:t>
      </w:r>
      <w:r w:rsidR="00E31075">
        <w:rPr>
          <w:rFonts w:eastAsiaTheme="minorEastAsia"/>
        </w:rPr>
        <w:t>e</w:t>
      </w:r>
      <w:r w:rsidRPr="00D85647">
        <w:rPr>
          <w:rFonts w:eastAsiaTheme="minorEastAsia"/>
        </w:rPr>
        <w:t xml:space="preserve">fficient, </w:t>
      </w:r>
      <w:r w:rsidR="00E31075">
        <w:rPr>
          <w:rFonts w:eastAsiaTheme="minorEastAsia"/>
        </w:rPr>
        <w:t>e</w:t>
      </w:r>
      <w:r w:rsidRPr="00D85647">
        <w:rPr>
          <w:rFonts w:eastAsiaTheme="minorEastAsia"/>
        </w:rPr>
        <w:t xml:space="preserve">ffective and </w:t>
      </w:r>
      <w:r w:rsidR="00E31075">
        <w:rPr>
          <w:rFonts w:eastAsiaTheme="minorEastAsia"/>
        </w:rPr>
        <w:t>e</w:t>
      </w:r>
      <w:r w:rsidRPr="00D85647">
        <w:rPr>
          <w:rFonts w:eastAsiaTheme="minorEastAsia"/>
        </w:rPr>
        <w:t>conomic procurement.</w:t>
      </w:r>
    </w:p>
    <w:p w14:paraId="6058F857" w14:textId="781841D4" w:rsidR="5C0AF1C9" w:rsidRDefault="5C0AF1C9" w:rsidP="5C0AF1C9">
      <w:pPr>
        <w:rPr>
          <w:rFonts w:eastAsiaTheme="minorEastAsia"/>
        </w:rPr>
      </w:pPr>
    </w:p>
    <w:p w14:paraId="3D05E8BA" w14:textId="4E50853C" w:rsidR="5C0AF1C9" w:rsidRDefault="5C0AF1C9" w:rsidP="5C0AF1C9">
      <w:pPr>
        <w:rPr>
          <w:rFonts w:eastAsiaTheme="minorEastAsia"/>
        </w:rPr>
      </w:pPr>
    </w:p>
    <w:tbl>
      <w:tblPr>
        <w:tblStyle w:val="TableGrid"/>
        <w:tblW w:w="0" w:type="auto"/>
        <w:tblLayout w:type="fixed"/>
        <w:tblLook w:val="06A0" w:firstRow="1" w:lastRow="0" w:firstColumn="1" w:lastColumn="0" w:noHBand="1" w:noVBand="1"/>
      </w:tblPr>
      <w:tblGrid>
        <w:gridCol w:w="3060"/>
        <w:gridCol w:w="2670"/>
        <w:gridCol w:w="1830"/>
        <w:gridCol w:w="1455"/>
      </w:tblGrid>
      <w:tr w:rsidR="5C0AF1C9" w14:paraId="1F955ADA" w14:textId="77777777" w:rsidTr="6F9EAC04">
        <w:trPr>
          <w:trHeight w:val="420"/>
        </w:trPr>
        <w:tc>
          <w:tcPr>
            <w:tcW w:w="3060" w:type="dxa"/>
            <w:tcBorders>
              <w:top w:val="single" w:sz="8" w:space="0" w:color="000000" w:themeColor="text1"/>
              <w:left w:val="single" w:sz="8" w:space="0" w:color="000000" w:themeColor="text1"/>
              <w:bottom w:val="nil"/>
              <w:right w:val="nil"/>
            </w:tcBorders>
            <w:vAlign w:val="bottom"/>
          </w:tcPr>
          <w:p w14:paraId="1099843F" w14:textId="39F91FFF" w:rsidR="5C0AF1C9" w:rsidRDefault="5C0AF1C9" w:rsidP="5C0AF1C9">
            <w:pPr>
              <w:rPr>
                <w:rFonts w:eastAsiaTheme="minorEastAsia"/>
                <w:b/>
                <w:bCs/>
                <w:color w:val="4472C4"/>
                <w:sz w:val="32"/>
                <w:szCs w:val="32"/>
              </w:rPr>
            </w:pPr>
            <w:r w:rsidRPr="5C0AF1C9">
              <w:rPr>
                <w:rFonts w:eastAsiaTheme="minorEastAsia"/>
                <w:b/>
                <w:bCs/>
                <w:color w:val="4472C4"/>
                <w:sz w:val="32"/>
                <w:szCs w:val="32"/>
              </w:rPr>
              <w:t>ICMP</w:t>
            </w:r>
          </w:p>
        </w:tc>
        <w:tc>
          <w:tcPr>
            <w:tcW w:w="2670" w:type="dxa"/>
            <w:tcBorders>
              <w:top w:val="single" w:sz="8" w:space="0" w:color="000000" w:themeColor="text1"/>
              <w:left w:val="nil"/>
              <w:bottom w:val="nil"/>
              <w:right w:val="nil"/>
            </w:tcBorders>
            <w:vAlign w:val="bottom"/>
          </w:tcPr>
          <w:p w14:paraId="79FFEC1E" w14:textId="1CB89A23" w:rsidR="5C0AF1C9" w:rsidRDefault="5C0AF1C9" w:rsidP="5C0AF1C9">
            <w:pPr>
              <w:rPr>
                <w:rFonts w:eastAsiaTheme="minorEastAsia"/>
              </w:rPr>
            </w:pPr>
          </w:p>
        </w:tc>
        <w:tc>
          <w:tcPr>
            <w:tcW w:w="1830" w:type="dxa"/>
            <w:tcBorders>
              <w:top w:val="single" w:sz="8" w:space="0" w:color="000000" w:themeColor="text1"/>
              <w:left w:val="nil"/>
              <w:bottom w:val="nil"/>
              <w:right w:val="nil"/>
            </w:tcBorders>
            <w:vAlign w:val="bottom"/>
          </w:tcPr>
          <w:p w14:paraId="0D9BA369" w14:textId="014FB754" w:rsidR="5C0AF1C9" w:rsidRDefault="5C0AF1C9" w:rsidP="5C0AF1C9">
            <w:pPr>
              <w:rPr>
                <w:rFonts w:eastAsiaTheme="minorEastAsia"/>
              </w:rPr>
            </w:pPr>
          </w:p>
        </w:tc>
        <w:tc>
          <w:tcPr>
            <w:tcW w:w="1455" w:type="dxa"/>
            <w:tcBorders>
              <w:top w:val="single" w:sz="8" w:space="0" w:color="000000" w:themeColor="text1"/>
              <w:left w:val="nil"/>
              <w:bottom w:val="nil"/>
              <w:right w:val="single" w:sz="8" w:space="0" w:color="000000" w:themeColor="text1"/>
            </w:tcBorders>
            <w:vAlign w:val="bottom"/>
          </w:tcPr>
          <w:p w14:paraId="402E22B0" w14:textId="1F2DD049" w:rsidR="5C0AF1C9" w:rsidRDefault="5C0AF1C9" w:rsidP="5C0AF1C9">
            <w:pPr>
              <w:rPr>
                <w:rFonts w:eastAsiaTheme="minorEastAsia"/>
              </w:rPr>
            </w:pPr>
            <w:r w:rsidRPr="5C0AF1C9">
              <w:rPr>
                <w:rFonts w:eastAsiaTheme="minorEastAsia"/>
              </w:rPr>
              <w:t>Table 1</w:t>
            </w:r>
          </w:p>
        </w:tc>
      </w:tr>
      <w:tr w:rsidR="5C0AF1C9" w14:paraId="08BE7BB3" w14:textId="77777777" w:rsidTr="6F9EAC04">
        <w:trPr>
          <w:trHeight w:val="420"/>
        </w:trPr>
        <w:tc>
          <w:tcPr>
            <w:tcW w:w="3060" w:type="dxa"/>
            <w:tcBorders>
              <w:top w:val="nil"/>
              <w:left w:val="single" w:sz="8" w:space="0" w:color="000000" w:themeColor="text1"/>
              <w:bottom w:val="nil"/>
              <w:right w:val="nil"/>
            </w:tcBorders>
            <w:vAlign w:val="bottom"/>
          </w:tcPr>
          <w:p w14:paraId="620344FB" w14:textId="4E9BA5C3" w:rsidR="5C0AF1C9" w:rsidRDefault="5C0AF1C9" w:rsidP="5C0AF1C9">
            <w:pPr>
              <w:rPr>
                <w:rFonts w:eastAsiaTheme="minorEastAsia"/>
                <w:b/>
                <w:bCs/>
                <w:color w:val="4472C4"/>
                <w:sz w:val="32"/>
                <w:szCs w:val="32"/>
              </w:rPr>
            </w:pPr>
            <w:r w:rsidRPr="5C0AF1C9">
              <w:rPr>
                <w:rFonts w:eastAsiaTheme="minorEastAsia"/>
                <w:b/>
                <w:bCs/>
                <w:color w:val="4472C4"/>
                <w:sz w:val="32"/>
                <w:szCs w:val="32"/>
              </w:rPr>
              <w:t>Procurement Authorisation</w:t>
            </w:r>
          </w:p>
        </w:tc>
        <w:tc>
          <w:tcPr>
            <w:tcW w:w="2670" w:type="dxa"/>
            <w:tcBorders>
              <w:top w:val="nil"/>
              <w:left w:val="nil"/>
              <w:bottom w:val="nil"/>
              <w:right w:val="nil"/>
            </w:tcBorders>
            <w:vAlign w:val="bottom"/>
          </w:tcPr>
          <w:p w14:paraId="149B0647" w14:textId="182CA938" w:rsidR="5C0AF1C9" w:rsidRDefault="5C0AF1C9" w:rsidP="5C0AF1C9">
            <w:pPr>
              <w:rPr>
                <w:rFonts w:eastAsiaTheme="minorEastAsia"/>
              </w:rPr>
            </w:pPr>
          </w:p>
        </w:tc>
        <w:tc>
          <w:tcPr>
            <w:tcW w:w="1830" w:type="dxa"/>
            <w:tcBorders>
              <w:top w:val="nil"/>
              <w:left w:val="nil"/>
              <w:bottom w:val="nil"/>
              <w:right w:val="nil"/>
            </w:tcBorders>
            <w:vAlign w:val="bottom"/>
          </w:tcPr>
          <w:p w14:paraId="179F1037" w14:textId="749A16EF" w:rsidR="5C0AF1C9" w:rsidRDefault="5C0AF1C9" w:rsidP="5C0AF1C9">
            <w:pPr>
              <w:rPr>
                <w:rFonts w:eastAsiaTheme="minorEastAsia"/>
              </w:rPr>
            </w:pPr>
          </w:p>
        </w:tc>
        <w:tc>
          <w:tcPr>
            <w:tcW w:w="1455" w:type="dxa"/>
            <w:tcBorders>
              <w:top w:val="nil"/>
              <w:left w:val="nil"/>
              <w:bottom w:val="nil"/>
              <w:right w:val="single" w:sz="8" w:space="0" w:color="000000" w:themeColor="text1"/>
            </w:tcBorders>
            <w:vAlign w:val="bottom"/>
          </w:tcPr>
          <w:p w14:paraId="596EB2B3" w14:textId="55A178F1" w:rsidR="5C0AF1C9" w:rsidRDefault="5C0AF1C9" w:rsidP="5C0AF1C9">
            <w:pPr>
              <w:rPr>
                <w:rFonts w:eastAsiaTheme="minorEastAsia"/>
              </w:rPr>
            </w:pPr>
          </w:p>
        </w:tc>
      </w:tr>
      <w:tr w:rsidR="5C0AF1C9" w14:paraId="606FB8EE" w14:textId="77777777" w:rsidTr="6F9EAC04">
        <w:trPr>
          <w:trHeight w:val="285"/>
        </w:trPr>
        <w:tc>
          <w:tcPr>
            <w:tcW w:w="3060" w:type="dxa"/>
            <w:tcBorders>
              <w:top w:val="nil"/>
              <w:left w:val="single" w:sz="8" w:space="0" w:color="000000" w:themeColor="text1"/>
              <w:bottom w:val="nil"/>
              <w:right w:val="nil"/>
            </w:tcBorders>
            <w:vAlign w:val="bottom"/>
          </w:tcPr>
          <w:p w14:paraId="31C1FC2F" w14:textId="3000C4E6" w:rsidR="5C0AF1C9" w:rsidRDefault="5C0AF1C9" w:rsidP="5C0AF1C9">
            <w:pPr>
              <w:rPr>
                <w:rFonts w:eastAsiaTheme="minorEastAsia"/>
              </w:rPr>
            </w:pPr>
          </w:p>
        </w:tc>
        <w:tc>
          <w:tcPr>
            <w:tcW w:w="2670" w:type="dxa"/>
            <w:tcBorders>
              <w:top w:val="nil"/>
              <w:left w:val="nil"/>
              <w:bottom w:val="nil"/>
              <w:right w:val="nil"/>
            </w:tcBorders>
            <w:vAlign w:val="bottom"/>
          </w:tcPr>
          <w:p w14:paraId="426626A0" w14:textId="1431E5D8" w:rsidR="5C0AF1C9" w:rsidRDefault="5C0AF1C9" w:rsidP="5C0AF1C9">
            <w:pPr>
              <w:rPr>
                <w:rFonts w:eastAsiaTheme="minorEastAsia"/>
              </w:rPr>
            </w:pPr>
          </w:p>
        </w:tc>
        <w:tc>
          <w:tcPr>
            <w:tcW w:w="1830" w:type="dxa"/>
            <w:tcBorders>
              <w:top w:val="nil"/>
              <w:left w:val="nil"/>
              <w:bottom w:val="nil"/>
              <w:right w:val="nil"/>
            </w:tcBorders>
            <w:vAlign w:val="bottom"/>
          </w:tcPr>
          <w:p w14:paraId="251831AB" w14:textId="68335D52" w:rsidR="5C0AF1C9" w:rsidRDefault="5C0AF1C9" w:rsidP="5C0AF1C9">
            <w:pPr>
              <w:rPr>
                <w:rFonts w:eastAsiaTheme="minorEastAsia"/>
              </w:rPr>
            </w:pPr>
          </w:p>
        </w:tc>
        <w:tc>
          <w:tcPr>
            <w:tcW w:w="1455" w:type="dxa"/>
            <w:tcBorders>
              <w:top w:val="nil"/>
              <w:left w:val="nil"/>
              <w:bottom w:val="nil"/>
              <w:right w:val="single" w:sz="8" w:space="0" w:color="000000" w:themeColor="text1"/>
            </w:tcBorders>
            <w:vAlign w:val="bottom"/>
          </w:tcPr>
          <w:p w14:paraId="4DC50FE6" w14:textId="3245A753" w:rsidR="5C0AF1C9" w:rsidRDefault="5C0AF1C9" w:rsidP="5C0AF1C9">
            <w:pPr>
              <w:rPr>
                <w:rFonts w:eastAsiaTheme="minorEastAsia"/>
              </w:rPr>
            </w:pPr>
          </w:p>
        </w:tc>
      </w:tr>
      <w:tr w:rsidR="5C0AF1C9" w14:paraId="338A75B7" w14:textId="77777777" w:rsidTr="6F9EAC04">
        <w:trPr>
          <w:trHeight w:val="915"/>
        </w:trPr>
        <w:tc>
          <w:tcPr>
            <w:tcW w:w="3060" w:type="dxa"/>
            <w:tcBorders>
              <w:top w:val="nil"/>
              <w:left w:val="single" w:sz="8" w:space="0" w:color="000000" w:themeColor="text1"/>
              <w:bottom w:val="nil"/>
              <w:right w:val="nil"/>
            </w:tcBorders>
            <w:shd w:val="clear" w:color="auto" w:fill="00B0F0"/>
            <w:vAlign w:val="center"/>
          </w:tcPr>
          <w:p w14:paraId="408D184C" w14:textId="34463187" w:rsidR="5C0AF1C9" w:rsidRDefault="5C0AF1C9" w:rsidP="5C0AF1C9">
            <w:pPr>
              <w:rPr>
                <w:rFonts w:eastAsiaTheme="minorEastAsia"/>
                <w:b/>
                <w:bCs/>
                <w:color w:val="000000" w:themeColor="text1"/>
              </w:rPr>
            </w:pPr>
            <w:r w:rsidRPr="5C0AF1C9">
              <w:rPr>
                <w:rFonts w:eastAsiaTheme="minorEastAsia"/>
                <w:b/>
                <w:bCs/>
                <w:color w:val="000000" w:themeColor="text1"/>
              </w:rPr>
              <w:t>Budget Area of Spend</w:t>
            </w:r>
          </w:p>
        </w:tc>
        <w:tc>
          <w:tcPr>
            <w:tcW w:w="2670" w:type="dxa"/>
            <w:tcBorders>
              <w:top w:val="nil"/>
              <w:left w:val="nil"/>
              <w:bottom w:val="nil"/>
              <w:right w:val="nil"/>
            </w:tcBorders>
            <w:shd w:val="clear" w:color="auto" w:fill="00B0F0"/>
            <w:vAlign w:val="center"/>
          </w:tcPr>
          <w:p w14:paraId="3BC594FC" w14:textId="46DCEC7C" w:rsidR="5C0AF1C9" w:rsidRDefault="5C0AF1C9" w:rsidP="5C0AF1C9">
            <w:pPr>
              <w:jc w:val="center"/>
              <w:rPr>
                <w:rFonts w:eastAsiaTheme="minorEastAsia"/>
                <w:b/>
                <w:bCs/>
                <w:color w:val="000000" w:themeColor="text1"/>
              </w:rPr>
            </w:pPr>
            <w:r w:rsidRPr="5C0AF1C9">
              <w:rPr>
                <w:rFonts w:eastAsiaTheme="minorEastAsia"/>
                <w:b/>
                <w:bCs/>
                <w:color w:val="000000" w:themeColor="text1"/>
              </w:rPr>
              <w:t xml:space="preserve">Overall Responsibility Level 1 </w:t>
            </w:r>
          </w:p>
        </w:tc>
        <w:tc>
          <w:tcPr>
            <w:tcW w:w="1830" w:type="dxa"/>
            <w:tcBorders>
              <w:top w:val="nil"/>
              <w:left w:val="nil"/>
              <w:bottom w:val="nil"/>
              <w:right w:val="nil"/>
            </w:tcBorders>
            <w:shd w:val="clear" w:color="auto" w:fill="00B0F0"/>
            <w:vAlign w:val="center"/>
          </w:tcPr>
          <w:p w14:paraId="2F5621E1" w14:textId="4E43C3CD" w:rsidR="5C0AF1C9" w:rsidRDefault="5C0AF1C9" w:rsidP="5C0AF1C9">
            <w:pPr>
              <w:jc w:val="center"/>
              <w:rPr>
                <w:rFonts w:eastAsiaTheme="minorEastAsia"/>
                <w:b/>
                <w:bCs/>
                <w:color w:val="000000" w:themeColor="text1"/>
              </w:rPr>
            </w:pPr>
            <w:r w:rsidRPr="5C0AF1C9">
              <w:rPr>
                <w:rFonts w:eastAsiaTheme="minorEastAsia"/>
                <w:b/>
                <w:bCs/>
                <w:color w:val="000000" w:themeColor="text1"/>
              </w:rPr>
              <w:t xml:space="preserve"> 'Budget Head'   'Buyer'</w:t>
            </w:r>
          </w:p>
          <w:p w14:paraId="2E1124C9" w14:textId="06ED7219" w:rsidR="5C0AF1C9" w:rsidRDefault="5C0AF1C9" w:rsidP="5C0AF1C9">
            <w:pPr>
              <w:jc w:val="center"/>
              <w:rPr>
                <w:rFonts w:eastAsiaTheme="minorEastAsia"/>
                <w:b/>
                <w:bCs/>
                <w:color w:val="000000" w:themeColor="text1"/>
              </w:rPr>
            </w:pPr>
            <w:r w:rsidRPr="5C0AF1C9">
              <w:rPr>
                <w:rFonts w:eastAsiaTheme="minorEastAsia"/>
                <w:b/>
                <w:bCs/>
                <w:color w:val="000000" w:themeColor="text1"/>
              </w:rPr>
              <w:t>Level 2</w:t>
            </w:r>
          </w:p>
        </w:tc>
        <w:tc>
          <w:tcPr>
            <w:tcW w:w="1455" w:type="dxa"/>
            <w:tcBorders>
              <w:top w:val="nil"/>
              <w:left w:val="nil"/>
              <w:bottom w:val="nil"/>
              <w:right w:val="single" w:sz="8" w:space="0" w:color="000000" w:themeColor="text1"/>
            </w:tcBorders>
            <w:shd w:val="clear" w:color="auto" w:fill="00B0F0"/>
            <w:vAlign w:val="center"/>
          </w:tcPr>
          <w:p w14:paraId="237AAF89" w14:textId="39E98ABD" w:rsidR="5C0AF1C9" w:rsidRDefault="5C0AF1C9" w:rsidP="5C0AF1C9">
            <w:pPr>
              <w:jc w:val="center"/>
              <w:rPr>
                <w:rFonts w:eastAsiaTheme="minorEastAsia"/>
                <w:b/>
                <w:bCs/>
                <w:color w:val="000000" w:themeColor="text1"/>
              </w:rPr>
            </w:pPr>
            <w:r w:rsidRPr="5C0AF1C9">
              <w:rPr>
                <w:rFonts w:eastAsiaTheme="minorEastAsia"/>
                <w:b/>
                <w:bCs/>
                <w:color w:val="000000" w:themeColor="text1"/>
              </w:rPr>
              <w:t>Dedicated Alternate 'Buyer'</w:t>
            </w:r>
          </w:p>
          <w:p w14:paraId="3E657ED9" w14:textId="51345E73" w:rsidR="5C0AF1C9" w:rsidRDefault="5C0AF1C9" w:rsidP="5C0AF1C9">
            <w:pPr>
              <w:jc w:val="center"/>
              <w:rPr>
                <w:rFonts w:eastAsiaTheme="minorEastAsia"/>
                <w:b/>
                <w:bCs/>
                <w:color w:val="000000" w:themeColor="text1"/>
              </w:rPr>
            </w:pPr>
            <w:r w:rsidRPr="5C0AF1C9">
              <w:rPr>
                <w:rFonts w:eastAsiaTheme="minorEastAsia"/>
                <w:b/>
                <w:bCs/>
                <w:color w:val="000000" w:themeColor="text1"/>
              </w:rPr>
              <w:t>Level 3</w:t>
            </w:r>
          </w:p>
        </w:tc>
      </w:tr>
      <w:tr w:rsidR="5C0AF1C9" w14:paraId="5A72D313"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F27B357" w14:textId="1FC7160B" w:rsidR="5C0AF1C9" w:rsidRDefault="5C0AF1C9" w:rsidP="5C0AF1C9">
            <w:pPr>
              <w:rPr>
                <w:rFonts w:eastAsiaTheme="minorEastAsia"/>
                <w:color w:val="000000" w:themeColor="text1"/>
              </w:rPr>
            </w:pPr>
            <w:r w:rsidRPr="5C0AF1C9">
              <w:rPr>
                <w:rFonts w:eastAsiaTheme="minorEastAsia"/>
                <w:color w:val="000000" w:themeColor="text1"/>
              </w:rPr>
              <w:t>Non-Accredited Learning (NAC)</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16EB7E" w14:textId="27BF2AE6" w:rsidR="5C0AF1C9" w:rsidRDefault="5C0AF1C9" w:rsidP="5C0AF1C9">
            <w:pPr>
              <w:rPr>
                <w:rFonts w:eastAsiaTheme="minorEastAsia"/>
                <w:color w:val="000000" w:themeColor="text1"/>
              </w:rPr>
            </w:pPr>
            <w:r w:rsidRPr="5C0AF1C9">
              <w:rPr>
                <w:rFonts w:eastAsiaTheme="minorEastAsia"/>
                <w:color w:val="000000" w:themeColor="text1"/>
              </w:rPr>
              <w:t>Business Development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9F226" w14:textId="4BD67217" w:rsidR="5C0AF1C9" w:rsidRDefault="5C0AF1C9" w:rsidP="5C0AF1C9">
            <w:pPr>
              <w:rPr>
                <w:rFonts w:eastAsiaTheme="minorEastAsia"/>
                <w:color w:val="000000" w:themeColor="text1"/>
              </w:rPr>
            </w:pPr>
            <w:r w:rsidRPr="5C0AF1C9">
              <w:rPr>
                <w:rFonts w:eastAsiaTheme="minorEastAsia"/>
                <w:color w:val="000000" w:themeColor="text1"/>
              </w:rPr>
              <w:t>Pete Whittard</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D8716B" w14:textId="7F921CD7" w:rsidR="5C0AF1C9" w:rsidRDefault="5C0AF1C9" w:rsidP="6F9EAC04">
            <w:pPr>
              <w:rPr>
                <w:rFonts w:eastAsiaTheme="minorEastAsia"/>
              </w:rPr>
            </w:pPr>
            <w:r w:rsidRPr="6F9EAC04">
              <w:rPr>
                <w:rFonts w:eastAsiaTheme="minorEastAsia"/>
              </w:rPr>
              <w:t>Tony Garston</w:t>
            </w:r>
          </w:p>
        </w:tc>
      </w:tr>
      <w:tr w:rsidR="5C0AF1C9" w14:paraId="0167CED2"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AC6A5B" w14:textId="35B708AB" w:rsidR="5C0AF1C9" w:rsidRDefault="5C0AF1C9" w:rsidP="5C0AF1C9">
            <w:pPr>
              <w:rPr>
                <w:rFonts w:eastAsiaTheme="minorEastAsia"/>
                <w:color w:val="000000" w:themeColor="text1"/>
              </w:rPr>
            </w:pPr>
            <w:r w:rsidRPr="5C0AF1C9">
              <w:rPr>
                <w:rFonts w:eastAsiaTheme="minorEastAsia"/>
                <w:color w:val="000000" w:themeColor="text1"/>
              </w:rPr>
              <w:t>General Capital Expenditure</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F1734F" w14:textId="08863398" w:rsidR="5C0AF1C9" w:rsidRDefault="5C0AF1C9" w:rsidP="5C0AF1C9">
            <w:pPr>
              <w:rPr>
                <w:rFonts w:eastAsiaTheme="minorEastAsia"/>
                <w:color w:val="000000" w:themeColor="text1"/>
              </w:rPr>
            </w:pPr>
            <w:r w:rsidRPr="5C0AF1C9">
              <w:rPr>
                <w:rFonts w:eastAsiaTheme="minorEastAsia"/>
                <w:color w:val="000000" w:themeColor="text1"/>
              </w:rPr>
              <w:t>Business Development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A986CE" w14:textId="3F1953AE" w:rsidR="5C0AF1C9" w:rsidRDefault="5C0AF1C9" w:rsidP="5C0AF1C9">
            <w:pPr>
              <w:rPr>
                <w:rFonts w:eastAsiaTheme="minorEastAsia"/>
                <w:color w:val="000000" w:themeColor="text1"/>
              </w:rPr>
            </w:pPr>
            <w:r w:rsidRPr="5C0AF1C9">
              <w:rPr>
                <w:rFonts w:eastAsiaTheme="minorEastAsia"/>
                <w:color w:val="000000" w:themeColor="text1"/>
              </w:rPr>
              <w:t>Chris Catchpol</w:t>
            </w:r>
            <w:r w:rsidR="00E31075">
              <w:rPr>
                <w:rFonts w:eastAsiaTheme="minorEastAsia"/>
                <w:color w:val="000000" w:themeColor="text1"/>
              </w:rPr>
              <w:t>e</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16468" w14:textId="36E73B31" w:rsidR="5C0AF1C9" w:rsidRDefault="5C0AF1C9" w:rsidP="5C0AF1C9">
            <w:pPr>
              <w:rPr>
                <w:rFonts w:eastAsiaTheme="minorEastAsia"/>
              </w:rPr>
            </w:pPr>
          </w:p>
        </w:tc>
      </w:tr>
      <w:tr w:rsidR="5C0AF1C9" w14:paraId="1DF7108E" w14:textId="77777777" w:rsidTr="6F9EAC04">
        <w:trPr>
          <w:trHeight w:val="615"/>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52B41232" w14:textId="478A139A" w:rsidR="5C0AF1C9" w:rsidRDefault="5C0AF1C9" w:rsidP="5C0AF1C9">
            <w:pPr>
              <w:rPr>
                <w:rFonts w:eastAsiaTheme="minorEastAsia"/>
                <w:color w:val="000000" w:themeColor="text1"/>
              </w:rPr>
            </w:pPr>
            <w:r w:rsidRPr="5C0AF1C9">
              <w:rPr>
                <w:rFonts w:eastAsiaTheme="minorEastAsia"/>
                <w:color w:val="000000" w:themeColor="text1"/>
              </w:rPr>
              <w:t>Business Development Projects</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F11A82" w14:textId="7EDA0D53" w:rsidR="5C0AF1C9" w:rsidRDefault="5C0AF1C9" w:rsidP="5C0AF1C9">
            <w:pPr>
              <w:rPr>
                <w:rFonts w:eastAsiaTheme="minorEastAsia"/>
                <w:color w:val="000000" w:themeColor="text1"/>
              </w:rPr>
            </w:pPr>
            <w:r w:rsidRPr="5C0AF1C9">
              <w:rPr>
                <w:rFonts w:eastAsiaTheme="minorEastAsia"/>
                <w:color w:val="000000" w:themeColor="text1"/>
              </w:rPr>
              <w:t>Business Development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FAB3F7" w14:textId="23EE51F4" w:rsidR="5C0AF1C9" w:rsidRDefault="5C0AF1C9" w:rsidP="5C0AF1C9">
            <w:pPr>
              <w:rPr>
                <w:rFonts w:eastAsiaTheme="minorEastAsia"/>
                <w:color w:val="000000" w:themeColor="text1"/>
              </w:rPr>
            </w:pPr>
            <w:r w:rsidRPr="5C0AF1C9">
              <w:rPr>
                <w:rFonts w:eastAsiaTheme="minorEastAsia"/>
                <w:color w:val="000000" w:themeColor="text1"/>
              </w:rPr>
              <w:t>Pete Whittard</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E1068" w14:textId="67E7639F" w:rsidR="5C0AF1C9" w:rsidRDefault="5C0AF1C9" w:rsidP="6F9EAC04">
            <w:pPr>
              <w:rPr>
                <w:rFonts w:eastAsiaTheme="minorEastAsia"/>
              </w:rPr>
            </w:pPr>
            <w:r w:rsidRPr="6F9EAC04">
              <w:rPr>
                <w:rFonts w:eastAsiaTheme="minorEastAsia"/>
              </w:rPr>
              <w:t>Jenny Marzano/ Chris Catchpol</w:t>
            </w:r>
            <w:r w:rsidR="00E31075">
              <w:rPr>
                <w:rFonts w:eastAsiaTheme="minorEastAsia"/>
              </w:rPr>
              <w:t>e</w:t>
            </w:r>
          </w:p>
        </w:tc>
      </w:tr>
      <w:tr w:rsidR="5C0AF1C9" w14:paraId="4DEE2AA3"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8979871" w14:textId="4A12D89B" w:rsidR="5C0AF1C9" w:rsidRDefault="5C0AF1C9" w:rsidP="5C0AF1C9">
            <w:pPr>
              <w:rPr>
                <w:rFonts w:eastAsiaTheme="minorEastAsia"/>
                <w:color w:val="000000" w:themeColor="text1"/>
              </w:rPr>
            </w:pPr>
            <w:r w:rsidRPr="5C0AF1C9">
              <w:rPr>
                <w:rFonts w:eastAsiaTheme="minorEastAsia"/>
                <w:color w:val="000000" w:themeColor="text1"/>
              </w:rPr>
              <w:t>Management (MAN)</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B396A8" w14:textId="4C2941D4" w:rsidR="5C0AF1C9" w:rsidRDefault="5C0AF1C9" w:rsidP="5C0AF1C9">
            <w:pPr>
              <w:rPr>
                <w:rFonts w:eastAsiaTheme="minorEastAsia"/>
                <w:color w:val="000000" w:themeColor="text1"/>
              </w:rPr>
            </w:pPr>
            <w:r w:rsidRPr="5C0AF1C9">
              <w:rPr>
                <w:rFonts w:eastAsiaTheme="minorEastAsia"/>
                <w:color w:val="000000" w:themeColor="text1"/>
              </w:rPr>
              <w:t>Chief Executive Officer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CE53767" w14:textId="71C516CB" w:rsidR="5C0AF1C9" w:rsidRDefault="5C0AF1C9" w:rsidP="5C0AF1C9">
            <w:pPr>
              <w:rPr>
                <w:rFonts w:eastAsiaTheme="minorEastAsia"/>
                <w:color w:val="000000" w:themeColor="text1"/>
              </w:rPr>
            </w:pPr>
            <w:r w:rsidRPr="5C0AF1C9">
              <w:rPr>
                <w:rFonts w:eastAsiaTheme="minorEastAsia"/>
                <w:color w:val="000000" w:themeColor="text1"/>
              </w:rPr>
              <w:t>Paul Kir</w:t>
            </w:r>
            <w:r w:rsidR="00E31075">
              <w:rPr>
                <w:rFonts w:eastAsiaTheme="minorEastAsia"/>
                <w:color w:val="000000" w:themeColor="text1"/>
              </w:rPr>
              <w:t>kham</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276EF3" w14:textId="48D058B6" w:rsidR="5C0AF1C9" w:rsidRDefault="5C0AF1C9" w:rsidP="5C0AF1C9">
            <w:pPr>
              <w:rPr>
                <w:rFonts w:eastAsiaTheme="minorEastAsia"/>
                <w:color w:val="000000" w:themeColor="text1"/>
              </w:rPr>
            </w:pPr>
            <w:r w:rsidRPr="5C0AF1C9">
              <w:rPr>
                <w:rFonts w:eastAsiaTheme="minorEastAsia"/>
                <w:color w:val="000000" w:themeColor="text1"/>
              </w:rPr>
              <w:t>Jenny Marzano</w:t>
            </w:r>
          </w:p>
        </w:tc>
      </w:tr>
      <w:tr w:rsidR="5C0AF1C9" w14:paraId="41344122"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FC12D2B" w14:textId="61E08DB7" w:rsidR="5C0AF1C9" w:rsidRDefault="5C0AF1C9" w:rsidP="5C0AF1C9">
            <w:pPr>
              <w:rPr>
                <w:rFonts w:eastAsiaTheme="minorEastAsia"/>
                <w:color w:val="000000" w:themeColor="text1"/>
              </w:rPr>
            </w:pPr>
            <w:r w:rsidRPr="5C0AF1C9">
              <w:rPr>
                <w:rFonts w:eastAsiaTheme="minorEastAsia"/>
                <w:color w:val="000000" w:themeColor="text1"/>
              </w:rPr>
              <w:t>Human Resources (HR)</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D01CB1" w14:textId="688E06ED" w:rsidR="5C0AF1C9" w:rsidRDefault="5C0AF1C9" w:rsidP="5C0AF1C9">
            <w:pPr>
              <w:rPr>
                <w:rFonts w:eastAsiaTheme="minorEastAsia"/>
                <w:color w:val="000000" w:themeColor="text1"/>
              </w:rPr>
            </w:pPr>
            <w:r w:rsidRPr="5C0AF1C9">
              <w:rPr>
                <w:rFonts w:eastAsiaTheme="minorEastAsia"/>
                <w:color w:val="000000" w:themeColor="text1"/>
              </w:rPr>
              <w:t>Chief Executive Officer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B8A6EA" w14:textId="21591FE3" w:rsidR="5C0AF1C9" w:rsidRDefault="5C0AF1C9" w:rsidP="5C0AF1C9">
            <w:pPr>
              <w:rPr>
                <w:rFonts w:eastAsiaTheme="minorEastAsia"/>
                <w:color w:val="000000" w:themeColor="text1"/>
              </w:rPr>
            </w:pPr>
            <w:r w:rsidRPr="5C0AF1C9">
              <w:rPr>
                <w:rFonts w:eastAsiaTheme="minorEastAsia"/>
                <w:color w:val="000000" w:themeColor="text1"/>
              </w:rPr>
              <w:t>Olivia Besly</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3FC101" w14:textId="2EFC79A3" w:rsidR="5C0AF1C9" w:rsidRDefault="5C0AF1C9" w:rsidP="5C0AF1C9">
            <w:pPr>
              <w:rPr>
                <w:rFonts w:eastAsiaTheme="minorEastAsia"/>
              </w:rPr>
            </w:pPr>
          </w:p>
        </w:tc>
      </w:tr>
      <w:tr w:rsidR="5C0AF1C9" w14:paraId="0A47930E"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F32BA4F" w14:textId="7CB72ABC" w:rsidR="5C0AF1C9" w:rsidRDefault="5C0AF1C9" w:rsidP="5C0AF1C9">
            <w:pPr>
              <w:rPr>
                <w:rFonts w:eastAsiaTheme="minorEastAsia"/>
                <w:color w:val="000000" w:themeColor="text1"/>
              </w:rPr>
            </w:pPr>
            <w:r w:rsidRPr="5C0AF1C9">
              <w:rPr>
                <w:rFonts w:eastAsiaTheme="minorEastAsia"/>
                <w:color w:val="000000" w:themeColor="text1"/>
              </w:rPr>
              <w:t>Other Balance Sheet Expenditure</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138E23" w14:textId="2A8C1394" w:rsidR="5C0AF1C9" w:rsidRDefault="5C0AF1C9" w:rsidP="5C0AF1C9">
            <w:pPr>
              <w:rPr>
                <w:rFonts w:eastAsiaTheme="minorEastAsia"/>
                <w:color w:val="000000" w:themeColor="text1"/>
              </w:rPr>
            </w:pPr>
            <w:r w:rsidRPr="5C0AF1C9">
              <w:rPr>
                <w:rFonts w:eastAsiaTheme="minorEastAsia"/>
                <w:color w:val="000000" w:themeColor="text1"/>
              </w:rPr>
              <w:t>Chief Executive Officer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66B198" w14:textId="46B8B63B" w:rsidR="5C0AF1C9" w:rsidRDefault="5C0AF1C9" w:rsidP="5C0AF1C9">
            <w:pPr>
              <w:rPr>
                <w:rFonts w:eastAsiaTheme="minorEastAsia"/>
                <w:color w:val="000000" w:themeColor="text1"/>
              </w:rPr>
            </w:pPr>
            <w:r w:rsidRPr="5C0AF1C9">
              <w:rPr>
                <w:rFonts w:eastAsiaTheme="minorEastAsia"/>
                <w:color w:val="000000" w:themeColor="text1"/>
              </w:rPr>
              <w:t>Paul Kirk</w:t>
            </w:r>
            <w:r w:rsidR="00E31075">
              <w:rPr>
                <w:rFonts w:eastAsiaTheme="minorEastAsia"/>
                <w:color w:val="000000" w:themeColor="text1"/>
              </w:rPr>
              <w:t>ham</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6F0F34" w14:textId="2452DF82" w:rsidR="5C0AF1C9" w:rsidRDefault="5C0AF1C9" w:rsidP="5C0AF1C9">
            <w:pPr>
              <w:rPr>
                <w:rFonts w:eastAsiaTheme="minorEastAsia"/>
              </w:rPr>
            </w:pPr>
          </w:p>
        </w:tc>
      </w:tr>
      <w:tr w:rsidR="5C0AF1C9" w14:paraId="41F02D15"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4B42469" w14:textId="45FC938E" w:rsidR="5C0AF1C9" w:rsidRDefault="5C0AF1C9" w:rsidP="5C0AF1C9">
            <w:pPr>
              <w:rPr>
                <w:rFonts w:eastAsiaTheme="minorEastAsia"/>
                <w:color w:val="000000" w:themeColor="text1"/>
              </w:rPr>
            </w:pPr>
            <w:r w:rsidRPr="5C0AF1C9">
              <w:rPr>
                <w:rFonts w:eastAsiaTheme="minorEastAsia"/>
                <w:color w:val="000000" w:themeColor="text1"/>
              </w:rPr>
              <w:t>Facilities (FAC)</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009BF13" w14:textId="25CBA59F"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8F6D5A5" w14:textId="2645C206" w:rsidR="5C0AF1C9" w:rsidRDefault="5C0AF1C9" w:rsidP="5C0AF1C9">
            <w:pPr>
              <w:rPr>
                <w:rFonts w:eastAsiaTheme="minorEastAsia"/>
                <w:color w:val="000000" w:themeColor="text1"/>
              </w:rPr>
            </w:pPr>
            <w:r w:rsidRPr="5C0AF1C9">
              <w:rPr>
                <w:rFonts w:eastAsiaTheme="minorEastAsia"/>
                <w:color w:val="000000" w:themeColor="text1"/>
              </w:rPr>
              <w:t>Chris Catchpol</w:t>
            </w:r>
            <w:r w:rsidR="00E31075">
              <w:rPr>
                <w:rFonts w:eastAsiaTheme="minorEastAsia"/>
                <w:color w:val="000000" w:themeColor="text1"/>
              </w:rPr>
              <w:t>e</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9CF579" w14:textId="1440C9EE" w:rsidR="5C0AF1C9" w:rsidRDefault="5C0AF1C9" w:rsidP="5C0AF1C9">
            <w:pPr>
              <w:rPr>
                <w:rFonts w:eastAsiaTheme="minorEastAsia"/>
                <w:color w:val="000000" w:themeColor="text1"/>
              </w:rPr>
            </w:pPr>
            <w:r w:rsidRPr="5C0AF1C9">
              <w:rPr>
                <w:rFonts w:eastAsiaTheme="minorEastAsia"/>
                <w:color w:val="000000" w:themeColor="text1"/>
              </w:rPr>
              <w:t>Damien O</w:t>
            </w:r>
            <w:r w:rsidR="00E31075">
              <w:rPr>
                <w:rFonts w:eastAsiaTheme="minorEastAsia"/>
                <w:color w:val="000000" w:themeColor="text1"/>
              </w:rPr>
              <w:t>men</w:t>
            </w:r>
          </w:p>
        </w:tc>
      </w:tr>
      <w:tr w:rsidR="5C0AF1C9" w14:paraId="3A61AEE4"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9E2EB0D" w14:textId="7895D017" w:rsidR="5C0AF1C9" w:rsidRDefault="5C0AF1C9" w:rsidP="5C0AF1C9">
            <w:pPr>
              <w:rPr>
                <w:rFonts w:eastAsiaTheme="minorEastAsia"/>
                <w:color w:val="000000" w:themeColor="text1"/>
              </w:rPr>
            </w:pPr>
            <w:r w:rsidRPr="5C0AF1C9">
              <w:rPr>
                <w:rFonts w:eastAsiaTheme="minorEastAsia"/>
                <w:color w:val="000000" w:themeColor="text1"/>
              </w:rPr>
              <w:t>Admissions (ADM)</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4C26941" w14:textId="4DB92EBE"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E3182B" w14:textId="3D759847" w:rsidR="5C0AF1C9" w:rsidRDefault="5C0AF1C9" w:rsidP="5C0AF1C9">
            <w:pPr>
              <w:rPr>
                <w:rFonts w:eastAsiaTheme="minorEastAsia"/>
                <w:color w:val="000000" w:themeColor="text1"/>
              </w:rPr>
            </w:pPr>
            <w:r w:rsidRPr="5C0AF1C9">
              <w:rPr>
                <w:rFonts w:eastAsiaTheme="minorEastAsia"/>
                <w:color w:val="000000" w:themeColor="text1"/>
              </w:rPr>
              <w:t>David Essien</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B6261C" w14:textId="159900CB" w:rsidR="5C0AF1C9" w:rsidRDefault="5C0AF1C9" w:rsidP="5C0AF1C9">
            <w:pPr>
              <w:rPr>
                <w:rFonts w:eastAsiaTheme="minorEastAsia"/>
                <w:color w:val="000000" w:themeColor="text1"/>
              </w:rPr>
            </w:pPr>
            <w:r w:rsidRPr="5C0AF1C9">
              <w:rPr>
                <w:rFonts w:eastAsiaTheme="minorEastAsia"/>
                <w:color w:val="000000" w:themeColor="text1"/>
              </w:rPr>
              <w:t>Darren Suckling</w:t>
            </w:r>
          </w:p>
        </w:tc>
      </w:tr>
      <w:tr w:rsidR="5C0AF1C9" w14:paraId="48DE2867"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4EA8D5AD" w14:textId="018E9AF7" w:rsidR="5C0AF1C9" w:rsidRDefault="5C0AF1C9" w:rsidP="5C0AF1C9">
            <w:pPr>
              <w:rPr>
                <w:rFonts w:eastAsiaTheme="minorEastAsia"/>
                <w:color w:val="000000" w:themeColor="text1"/>
              </w:rPr>
            </w:pPr>
            <w:r w:rsidRPr="5C0AF1C9">
              <w:rPr>
                <w:rFonts w:eastAsiaTheme="minorEastAsia"/>
                <w:color w:val="000000" w:themeColor="text1"/>
              </w:rPr>
              <w:t>Academic Support (ADS)</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AAEAFF" w14:textId="7FE6A74A"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AD28CD" w14:textId="0B5CDD42" w:rsidR="5C0AF1C9" w:rsidRDefault="5C0AF1C9" w:rsidP="5C0AF1C9">
            <w:pPr>
              <w:rPr>
                <w:rFonts w:eastAsiaTheme="minorEastAsia"/>
                <w:color w:val="000000" w:themeColor="text1"/>
              </w:rPr>
            </w:pPr>
            <w:r w:rsidRPr="5C0AF1C9">
              <w:rPr>
                <w:rFonts w:eastAsiaTheme="minorEastAsia"/>
                <w:color w:val="000000" w:themeColor="text1"/>
              </w:rPr>
              <w:t>Stef Jones</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511389" w14:textId="1E9FBD66" w:rsidR="5C0AF1C9" w:rsidRDefault="5C0AF1C9" w:rsidP="5C0AF1C9">
            <w:pPr>
              <w:rPr>
                <w:rFonts w:eastAsiaTheme="minorEastAsia"/>
                <w:color w:val="000000" w:themeColor="text1"/>
              </w:rPr>
            </w:pPr>
            <w:r w:rsidRPr="5C0AF1C9">
              <w:rPr>
                <w:rFonts w:eastAsiaTheme="minorEastAsia"/>
                <w:color w:val="000000" w:themeColor="text1"/>
              </w:rPr>
              <w:t>Emma Lobb</w:t>
            </w:r>
          </w:p>
        </w:tc>
      </w:tr>
      <w:tr w:rsidR="5C0AF1C9" w14:paraId="38F7EB95"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989354D" w14:textId="4B2E6A99" w:rsidR="5C0AF1C9" w:rsidRDefault="5C0AF1C9" w:rsidP="5C0AF1C9">
            <w:pPr>
              <w:rPr>
                <w:rFonts w:eastAsiaTheme="minorEastAsia"/>
                <w:color w:val="000000" w:themeColor="text1"/>
              </w:rPr>
            </w:pPr>
            <w:r w:rsidRPr="5C0AF1C9">
              <w:rPr>
                <w:rFonts w:eastAsiaTheme="minorEastAsia"/>
                <w:color w:val="000000" w:themeColor="text1"/>
              </w:rPr>
              <w:t>Student Services (S+S)</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A19AAA" w14:textId="21FC495F"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2C28FA" w14:textId="032E94D7" w:rsidR="5C0AF1C9" w:rsidRDefault="5C0AF1C9" w:rsidP="5C0AF1C9">
            <w:pPr>
              <w:rPr>
                <w:rFonts w:eastAsiaTheme="minorEastAsia"/>
                <w:color w:val="000000" w:themeColor="text1"/>
              </w:rPr>
            </w:pPr>
            <w:r w:rsidRPr="5C0AF1C9">
              <w:rPr>
                <w:rFonts w:eastAsiaTheme="minorEastAsia"/>
                <w:color w:val="000000" w:themeColor="text1"/>
              </w:rPr>
              <w:t>Angela Morley</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8A02ED" w14:textId="1CC2DFAF" w:rsidR="5C0AF1C9" w:rsidRDefault="5C0AF1C9" w:rsidP="5C0AF1C9">
            <w:pPr>
              <w:rPr>
                <w:rFonts w:eastAsiaTheme="minorEastAsia"/>
              </w:rPr>
            </w:pPr>
          </w:p>
        </w:tc>
      </w:tr>
      <w:tr w:rsidR="5C0AF1C9" w14:paraId="21EA7EA4"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07AE36A" w14:textId="0B712ADE" w:rsidR="5C0AF1C9" w:rsidRDefault="5C0AF1C9" w:rsidP="5C0AF1C9">
            <w:pPr>
              <w:rPr>
                <w:rFonts w:eastAsiaTheme="minorEastAsia"/>
                <w:color w:val="000000" w:themeColor="text1"/>
              </w:rPr>
            </w:pPr>
            <w:r w:rsidRPr="5C0AF1C9">
              <w:rPr>
                <w:rFonts w:eastAsiaTheme="minorEastAsia"/>
                <w:color w:val="000000" w:themeColor="text1"/>
              </w:rPr>
              <w:lastRenderedPageBreak/>
              <w:t>Registry (DAT)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ED53F" w14:textId="6FE416A5"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45D645" w14:textId="23099F9D" w:rsidR="5C0AF1C9" w:rsidRDefault="5C0AF1C9" w:rsidP="5C0AF1C9">
            <w:pPr>
              <w:rPr>
                <w:rFonts w:eastAsiaTheme="minorEastAsia"/>
                <w:color w:val="000000" w:themeColor="text1"/>
              </w:rPr>
            </w:pPr>
            <w:r w:rsidRPr="5C0AF1C9">
              <w:rPr>
                <w:rFonts w:eastAsiaTheme="minorEastAsia"/>
                <w:color w:val="000000" w:themeColor="text1"/>
              </w:rPr>
              <w:t>Stef Jones</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D7A37FF" w14:textId="3A8CA640" w:rsidR="5C0AF1C9" w:rsidRDefault="5C0AF1C9" w:rsidP="5C0AF1C9">
            <w:pPr>
              <w:rPr>
                <w:rFonts w:eastAsiaTheme="minorEastAsia"/>
                <w:color w:val="000000" w:themeColor="text1"/>
              </w:rPr>
            </w:pPr>
            <w:r w:rsidRPr="5C0AF1C9">
              <w:rPr>
                <w:rFonts w:eastAsiaTheme="minorEastAsia"/>
                <w:color w:val="000000" w:themeColor="text1"/>
              </w:rPr>
              <w:t>Melissa Cadby</w:t>
            </w:r>
          </w:p>
        </w:tc>
      </w:tr>
      <w:tr w:rsidR="5C0AF1C9" w14:paraId="14482B1B"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1D573267" w14:textId="1C532D83" w:rsidR="5C0AF1C9" w:rsidRDefault="5C0AF1C9" w:rsidP="5C0AF1C9">
            <w:pPr>
              <w:rPr>
                <w:rFonts w:eastAsiaTheme="minorEastAsia"/>
                <w:color w:val="000000" w:themeColor="text1"/>
              </w:rPr>
            </w:pPr>
            <w:r w:rsidRPr="5C0AF1C9">
              <w:rPr>
                <w:rFonts w:eastAsiaTheme="minorEastAsia"/>
                <w:color w:val="000000" w:themeColor="text1"/>
              </w:rPr>
              <w:t>Industry and Careers (I+C)</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62FA84" w14:textId="6875E1C4"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9C140" w14:textId="736AFBF3" w:rsidR="5C0AF1C9" w:rsidRDefault="5C0AF1C9" w:rsidP="5C0AF1C9">
            <w:pPr>
              <w:rPr>
                <w:rFonts w:eastAsiaTheme="minorEastAsia"/>
                <w:color w:val="000000" w:themeColor="text1"/>
              </w:rPr>
            </w:pPr>
            <w:r w:rsidRPr="5C0AF1C9">
              <w:rPr>
                <w:rFonts w:eastAsiaTheme="minorEastAsia"/>
                <w:color w:val="000000" w:themeColor="text1"/>
              </w:rPr>
              <w:t xml:space="preserve">James Brister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9DFE5F" w14:textId="10877EEB" w:rsidR="5C0AF1C9" w:rsidRDefault="5C0AF1C9" w:rsidP="5C0AF1C9">
            <w:pPr>
              <w:rPr>
                <w:rFonts w:eastAsiaTheme="minorEastAsia"/>
                <w:color w:val="000000" w:themeColor="text1"/>
              </w:rPr>
            </w:pPr>
            <w:r w:rsidRPr="5C0AF1C9">
              <w:rPr>
                <w:rFonts w:eastAsiaTheme="minorEastAsia"/>
                <w:color w:val="000000" w:themeColor="text1"/>
              </w:rPr>
              <w:t>Oliver Tatler</w:t>
            </w:r>
          </w:p>
        </w:tc>
      </w:tr>
      <w:tr w:rsidR="5C0AF1C9" w14:paraId="619F66A8"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52C7236" w14:textId="0465F7B5" w:rsidR="5C0AF1C9" w:rsidRDefault="5C0AF1C9" w:rsidP="5C0AF1C9">
            <w:pPr>
              <w:rPr>
                <w:rFonts w:eastAsiaTheme="minorEastAsia"/>
                <w:color w:val="000000" w:themeColor="text1"/>
              </w:rPr>
            </w:pPr>
            <w:r w:rsidRPr="5C0AF1C9">
              <w:rPr>
                <w:rFonts w:eastAsiaTheme="minorEastAsia"/>
                <w:color w:val="000000" w:themeColor="text1"/>
              </w:rPr>
              <w:t>Access and Participation (APP)</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06F48A" w14:textId="01D64414"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5D456A" w14:textId="1AA10A7E" w:rsidR="5C0AF1C9" w:rsidRDefault="5C0AF1C9" w:rsidP="5C0AF1C9">
            <w:pPr>
              <w:rPr>
                <w:rFonts w:eastAsiaTheme="minorEastAsia"/>
                <w:color w:val="000000" w:themeColor="text1"/>
              </w:rPr>
            </w:pPr>
            <w:r w:rsidRPr="5C0AF1C9">
              <w:rPr>
                <w:rFonts w:eastAsiaTheme="minorEastAsia"/>
                <w:color w:val="000000" w:themeColor="text1"/>
              </w:rPr>
              <w:t>Hannah Trott</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2B4B9F" w14:textId="7FF32BA1" w:rsidR="5C0AF1C9" w:rsidRDefault="5C0AF1C9" w:rsidP="5C0AF1C9">
            <w:pPr>
              <w:rPr>
                <w:rFonts w:eastAsiaTheme="minorEastAsia"/>
                <w:color w:val="000000" w:themeColor="text1"/>
              </w:rPr>
            </w:pPr>
            <w:r w:rsidRPr="5C0AF1C9">
              <w:rPr>
                <w:rFonts w:eastAsiaTheme="minorEastAsia"/>
                <w:color w:val="000000" w:themeColor="text1"/>
              </w:rPr>
              <w:t>Terri Cash</w:t>
            </w:r>
          </w:p>
        </w:tc>
      </w:tr>
      <w:tr w:rsidR="5C0AF1C9" w14:paraId="294B10B9"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20BA4E10" w14:textId="567E2BC0" w:rsidR="5C0AF1C9" w:rsidRDefault="5C0AF1C9" w:rsidP="5C0AF1C9">
            <w:pPr>
              <w:rPr>
                <w:rFonts w:eastAsiaTheme="minorEastAsia"/>
                <w:color w:val="000000" w:themeColor="text1"/>
              </w:rPr>
            </w:pPr>
            <w:r w:rsidRPr="5C0AF1C9">
              <w:rPr>
                <w:rFonts w:eastAsiaTheme="minorEastAsia"/>
                <w:color w:val="000000" w:themeColor="text1"/>
              </w:rPr>
              <w:t>Information Technology (IT)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587BCD" w14:textId="4C45EC70" w:rsidR="5C0AF1C9" w:rsidRDefault="5C0AF1C9" w:rsidP="5C0AF1C9">
            <w:pPr>
              <w:rPr>
                <w:rFonts w:eastAsiaTheme="minorEastAsia"/>
                <w:color w:val="000000" w:themeColor="text1"/>
              </w:rPr>
            </w:pPr>
            <w:r w:rsidRPr="5C0AF1C9">
              <w:rPr>
                <w:rFonts w:eastAsiaTheme="minorEastAsia"/>
                <w:color w:val="000000" w:themeColor="text1"/>
              </w:rPr>
              <w:t xml:space="preserve">Chief Operating Officer </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CCBB93" w14:textId="7A3E3098" w:rsidR="5C0AF1C9" w:rsidRDefault="5C0AF1C9" w:rsidP="6F9EAC04">
            <w:pPr>
              <w:rPr>
                <w:rFonts w:eastAsiaTheme="minorEastAsia"/>
                <w:color w:val="000000" w:themeColor="text1"/>
              </w:rPr>
            </w:pPr>
            <w:r w:rsidRPr="6F9EAC04">
              <w:rPr>
                <w:rFonts w:eastAsiaTheme="minorEastAsia"/>
                <w:color w:val="000000" w:themeColor="text1"/>
              </w:rPr>
              <w:t>Chris Catchpole</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CB73EE" w14:textId="5B2BECCB" w:rsidR="5C0AF1C9" w:rsidRDefault="5C0AF1C9" w:rsidP="5C0AF1C9">
            <w:pPr>
              <w:rPr>
                <w:rFonts w:eastAsiaTheme="minorEastAsia"/>
                <w:color w:val="000000" w:themeColor="text1"/>
              </w:rPr>
            </w:pPr>
            <w:r w:rsidRPr="5C0AF1C9">
              <w:rPr>
                <w:rFonts w:eastAsiaTheme="minorEastAsia"/>
                <w:color w:val="000000" w:themeColor="text1"/>
              </w:rPr>
              <w:t>John M</w:t>
            </w:r>
            <w:r w:rsidR="00E31075">
              <w:rPr>
                <w:rFonts w:eastAsiaTheme="minorEastAsia"/>
                <w:color w:val="000000" w:themeColor="text1"/>
              </w:rPr>
              <w:t>a</w:t>
            </w:r>
            <w:r w:rsidRPr="5C0AF1C9">
              <w:rPr>
                <w:rFonts w:eastAsiaTheme="minorEastAsia"/>
                <w:color w:val="000000" w:themeColor="text1"/>
              </w:rPr>
              <w:t>cdonald</w:t>
            </w:r>
          </w:p>
        </w:tc>
      </w:tr>
      <w:tr w:rsidR="5C0AF1C9" w14:paraId="425C6215"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03C4BFD0" w14:textId="0EF564DB" w:rsidR="5C0AF1C9" w:rsidRDefault="5C0AF1C9" w:rsidP="5C0AF1C9">
            <w:pPr>
              <w:rPr>
                <w:rFonts w:eastAsiaTheme="minorEastAsia"/>
                <w:color w:val="000000" w:themeColor="text1"/>
              </w:rPr>
            </w:pPr>
            <w:r w:rsidRPr="5C0AF1C9">
              <w:rPr>
                <w:rFonts w:eastAsiaTheme="minorEastAsia"/>
                <w:color w:val="000000" w:themeColor="text1"/>
              </w:rPr>
              <w:t>Finance (FIN)</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3D7432" w14:textId="45855D8A" w:rsidR="5C0AF1C9" w:rsidRDefault="5C0AF1C9" w:rsidP="5C0AF1C9">
            <w:pPr>
              <w:rPr>
                <w:rFonts w:eastAsiaTheme="minorEastAsia"/>
                <w:color w:val="000000" w:themeColor="text1"/>
              </w:rPr>
            </w:pPr>
            <w:r w:rsidRPr="5C0AF1C9">
              <w:rPr>
                <w:rFonts w:eastAsiaTheme="minorEastAsia"/>
                <w:color w:val="000000" w:themeColor="text1"/>
              </w:rPr>
              <w:t>Finance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5BFE85" w14:textId="4DAAAC0B" w:rsidR="5C0AF1C9" w:rsidRDefault="5C0AF1C9" w:rsidP="5C0AF1C9">
            <w:pPr>
              <w:rPr>
                <w:rFonts w:eastAsiaTheme="minorEastAsia"/>
                <w:color w:val="000000" w:themeColor="text1"/>
              </w:rPr>
            </w:pPr>
            <w:r w:rsidRPr="5C0AF1C9">
              <w:rPr>
                <w:rFonts w:eastAsiaTheme="minorEastAsia"/>
                <w:color w:val="000000" w:themeColor="text1"/>
              </w:rPr>
              <w:t>Linda Ashong</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E2F2F6B" w14:textId="77B7817D" w:rsidR="5C0AF1C9" w:rsidRDefault="5C0AF1C9" w:rsidP="5C0AF1C9">
            <w:pPr>
              <w:rPr>
                <w:rFonts w:eastAsiaTheme="minorEastAsia"/>
                <w:color w:val="000000" w:themeColor="text1"/>
              </w:rPr>
            </w:pPr>
            <w:r w:rsidRPr="5C0AF1C9">
              <w:rPr>
                <w:rFonts w:eastAsiaTheme="minorEastAsia"/>
                <w:color w:val="000000" w:themeColor="text1"/>
              </w:rPr>
              <w:t>Gavin Clarke</w:t>
            </w:r>
          </w:p>
        </w:tc>
      </w:tr>
      <w:tr w:rsidR="5C0AF1C9" w14:paraId="7C43912E" w14:textId="77777777" w:rsidTr="6F9EAC04">
        <w:trPr>
          <w:trHeight w:val="300"/>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31450C91" w14:textId="086EE884" w:rsidR="5C0AF1C9" w:rsidRDefault="5C0AF1C9" w:rsidP="5C0AF1C9">
            <w:pPr>
              <w:rPr>
                <w:rFonts w:eastAsiaTheme="minorEastAsia"/>
                <w:color w:val="000000" w:themeColor="text1"/>
              </w:rPr>
            </w:pPr>
            <w:r w:rsidRPr="5C0AF1C9">
              <w:rPr>
                <w:rFonts w:eastAsiaTheme="minorEastAsia"/>
                <w:color w:val="000000" w:themeColor="text1"/>
              </w:rPr>
              <w:t>Marketing (MKT)</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E276E07" w14:textId="711F51B0" w:rsidR="5C0AF1C9" w:rsidRDefault="5C0AF1C9" w:rsidP="5C0AF1C9">
            <w:pPr>
              <w:rPr>
                <w:rFonts w:eastAsiaTheme="minorEastAsia"/>
                <w:color w:val="000000" w:themeColor="text1"/>
              </w:rPr>
            </w:pPr>
            <w:r w:rsidRPr="5C0AF1C9">
              <w:rPr>
                <w:rFonts w:eastAsiaTheme="minorEastAsia"/>
                <w:color w:val="000000" w:themeColor="text1"/>
              </w:rPr>
              <w:t>Marketing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29727E" w14:textId="0714F2F2" w:rsidR="5C0AF1C9" w:rsidRDefault="5C0AF1C9" w:rsidP="5C0AF1C9">
            <w:pPr>
              <w:rPr>
                <w:rFonts w:eastAsiaTheme="minorEastAsia"/>
                <w:color w:val="000000" w:themeColor="text1"/>
              </w:rPr>
            </w:pPr>
            <w:r w:rsidRPr="5C0AF1C9">
              <w:rPr>
                <w:rFonts w:eastAsiaTheme="minorEastAsia"/>
                <w:color w:val="000000" w:themeColor="text1"/>
              </w:rPr>
              <w:t xml:space="preserve">Steve Dunhill </w:t>
            </w:r>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297106D" w14:textId="67F4718C" w:rsidR="5C0AF1C9" w:rsidRDefault="5C0AF1C9" w:rsidP="5C0AF1C9">
            <w:pPr>
              <w:rPr>
                <w:rFonts w:eastAsiaTheme="minorEastAsia"/>
                <w:color w:val="000000" w:themeColor="text1"/>
              </w:rPr>
            </w:pPr>
            <w:r w:rsidRPr="5C0AF1C9">
              <w:rPr>
                <w:rFonts w:eastAsiaTheme="minorEastAsia"/>
                <w:color w:val="000000" w:themeColor="text1"/>
              </w:rPr>
              <w:t>Lisa Wadham</w:t>
            </w:r>
          </w:p>
        </w:tc>
      </w:tr>
      <w:tr w:rsidR="5C0AF1C9" w14:paraId="6C7312A5" w14:textId="77777777" w:rsidTr="6F9EAC04">
        <w:trPr>
          <w:trHeight w:val="1215"/>
        </w:trPr>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tcPr>
          <w:p w14:paraId="705C67EC" w14:textId="014C6C59" w:rsidR="5C0AF1C9" w:rsidRDefault="5C0AF1C9" w:rsidP="5C0AF1C9">
            <w:pPr>
              <w:rPr>
                <w:rFonts w:eastAsiaTheme="minorEastAsia"/>
                <w:color w:val="000000" w:themeColor="text1"/>
              </w:rPr>
            </w:pPr>
            <w:r w:rsidRPr="5C0AF1C9">
              <w:rPr>
                <w:rFonts w:eastAsiaTheme="minorEastAsia"/>
                <w:color w:val="000000" w:themeColor="text1"/>
              </w:rPr>
              <w:t>Education (EDU)</w:t>
            </w:r>
          </w:p>
        </w:tc>
        <w:tc>
          <w:tcPr>
            <w:tcW w:w="26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889912" w14:textId="2EE1577D" w:rsidR="5C0AF1C9" w:rsidRDefault="5C0AF1C9" w:rsidP="5C0AF1C9">
            <w:pPr>
              <w:rPr>
                <w:rFonts w:eastAsiaTheme="minorEastAsia"/>
                <w:color w:val="000000" w:themeColor="text1"/>
              </w:rPr>
            </w:pPr>
            <w:r w:rsidRPr="5C0AF1C9">
              <w:rPr>
                <w:rFonts w:eastAsiaTheme="minorEastAsia"/>
                <w:color w:val="000000" w:themeColor="text1"/>
              </w:rPr>
              <w:t>The Dean and Director</w:t>
            </w:r>
          </w:p>
        </w:tc>
        <w:tc>
          <w:tcPr>
            <w:tcW w:w="18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56A8FD" w14:textId="1824BD7D" w:rsidR="5C0AF1C9" w:rsidRDefault="5C0AF1C9" w:rsidP="6F9EAC04">
            <w:pPr>
              <w:rPr>
                <w:rFonts w:eastAsiaTheme="minorEastAsia"/>
              </w:rPr>
            </w:pPr>
            <w:r w:rsidRPr="6F9EAC04">
              <w:rPr>
                <w:rFonts w:eastAsiaTheme="minorEastAsia"/>
              </w:rPr>
              <w:t>Jonathan Whisk</w:t>
            </w:r>
            <w:r w:rsidR="00E31075">
              <w:rPr>
                <w:rFonts w:eastAsiaTheme="minorEastAsia"/>
              </w:rPr>
              <w:t>e</w:t>
            </w:r>
            <w:r w:rsidRPr="6F9EAC04">
              <w:rPr>
                <w:rFonts w:eastAsiaTheme="minorEastAsia"/>
              </w:rPr>
              <w:t xml:space="preserve">rd, Lucy </w:t>
            </w:r>
            <w:proofErr w:type="spellStart"/>
            <w:r w:rsidRPr="6F9EAC04">
              <w:rPr>
                <w:rFonts w:eastAsiaTheme="minorEastAsia"/>
              </w:rPr>
              <w:t>B</w:t>
            </w:r>
            <w:r w:rsidR="00E31075">
              <w:rPr>
                <w:rFonts w:eastAsiaTheme="minorEastAsia"/>
              </w:rPr>
              <w:t>e</w:t>
            </w:r>
            <w:r w:rsidRPr="6F9EAC04">
              <w:rPr>
                <w:rFonts w:eastAsiaTheme="minorEastAsia"/>
              </w:rPr>
              <w:t>rnstien</w:t>
            </w:r>
            <w:proofErr w:type="spellEnd"/>
          </w:p>
        </w:tc>
        <w:tc>
          <w:tcPr>
            <w:tcW w:w="14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751F8B" w14:textId="4D473780" w:rsidR="5C0AF1C9" w:rsidRDefault="5C0AF1C9" w:rsidP="6F9EAC04">
            <w:pPr>
              <w:rPr>
                <w:rFonts w:eastAsiaTheme="minorEastAsia"/>
              </w:rPr>
            </w:pPr>
            <w:r w:rsidRPr="6F9EAC04">
              <w:rPr>
                <w:rFonts w:eastAsiaTheme="minorEastAsia"/>
              </w:rPr>
              <w:t>All PL's for their own programme delivery</w:t>
            </w:r>
          </w:p>
        </w:tc>
      </w:tr>
    </w:tbl>
    <w:p w14:paraId="2FB6CE7C" w14:textId="6D774C89" w:rsidR="5C0AF1C9" w:rsidRDefault="5C0AF1C9" w:rsidP="5C0AF1C9">
      <w:pPr>
        <w:rPr>
          <w:rFonts w:eastAsiaTheme="minorEastAsia"/>
        </w:rPr>
      </w:pPr>
    </w:p>
    <w:p w14:paraId="3AB2D4BF" w14:textId="725B8014" w:rsidR="5C0AF1C9" w:rsidRDefault="4A8184AC" w:rsidP="4A8184AC">
      <w:pPr>
        <w:rPr>
          <w:rFonts w:eastAsiaTheme="minorEastAsia"/>
        </w:rPr>
      </w:pPr>
      <w:r w:rsidRPr="4A8184AC">
        <w:rPr>
          <w:rFonts w:eastAsiaTheme="minorEastAsia"/>
        </w:rPr>
        <w:t>Table 2</w:t>
      </w:r>
    </w:p>
    <w:tbl>
      <w:tblPr>
        <w:tblStyle w:val="TableGrid"/>
        <w:tblW w:w="0" w:type="auto"/>
        <w:tblLook w:val="06A0" w:firstRow="1" w:lastRow="0" w:firstColumn="1" w:lastColumn="0" w:noHBand="1" w:noVBand="1"/>
      </w:tblPr>
      <w:tblGrid>
        <w:gridCol w:w="2069"/>
        <w:gridCol w:w="1691"/>
        <w:gridCol w:w="1915"/>
        <w:gridCol w:w="1440"/>
        <w:gridCol w:w="1901"/>
      </w:tblGrid>
      <w:tr w:rsidR="4A8184AC" w14:paraId="4F8CEF02" w14:textId="77777777" w:rsidTr="4A8184AC">
        <w:trPr>
          <w:trHeight w:val="615"/>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bottom"/>
          </w:tcPr>
          <w:p w14:paraId="2D7C35B6" w14:textId="489765F1" w:rsidR="4A8184AC" w:rsidRDefault="4A8184AC" w:rsidP="4A8184AC">
            <w:pPr>
              <w:rPr>
                <w:rFonts w:eastAsiaTheme="minorEastAsia"/>
              </w:rPr>
            </w:pP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45A6AFCD" w14:textId="6987BB80" w:rsidR="5C0AF1C9" w:rsidRDefault="5C0AF1C9" w:rsidP="4A8184AC">
            <w:pPr>
              <w:jc w:val="center"/>
              <w:rPr>
                <w:rFonts w:eastAsiaTheme="minorEastAsia"/>
                <w:b/>
                <w:bCs/>
                <w:color w:val="000000" w:themeColor="text1"/>
              </w:rPr>
            </w:pPr>
            <w:r w:rsidRPr="4A8184AC">
              <w:rPr>
                <w:rFonts w:eastAsiaTheme="minorEastAsia"/>
                <w:b/>
                <w:bCs/>
                <w:color w:val="000000" w:themeColor="text1"/>
              </w:rPr>
              <w:t>&lt; £1,000</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2DF19364" w14:textId="098C7A35" w:rsidR="5C0AF1C9" w:rsidRDefault="5C0AF1C9" w:rsidP="4A8184AC">
            <w:pPr>
              <w:jc w:val="center"/>
              <w:rPr>
                <w:rFonts w:eastAsiaTheme="minorEastAsia"/>
                <w:b/>
                <w:bCs/>
                <w:color w:val="000000" w:themeColor="text1"/>
              </w:rPr>
            </w:pPr>
            <w:r w:rsidRPr="4A8184AC">
              <w:rPr>
                <w:rFonts w:eastAsiaTheme="minorEastAsia"/>
                <w:b/>
                <w:bCs/>
                <w:color w:val="000000" w:themeColor="text1"/>
              </w:rPr>
              <w:t>&gt; £5,000 &lt; £10,000</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7E6DB375" w14:textId="298CD3B9" w:rsidR="5C0AF1C9" w:rsidRDefault="5C0AF1C9" w:rsidP="4A8184AC">
            <w:pPr>
              <w:jc w:val="center"/>
              <w:rPr>
                <w:rFonts w:eastAsiaTheme="minorEastAsia"/>
                <w:b/>
                <w:bCs/>
                <w:color w:val="000000" w:themeColor="text1"/>
              </w:rPr>
            </w:pPr>
            <w:r w:rsidRPr="4A8184AC">
              <w:rPr>
                <w:rFonts w:eastAsiaTheme="minorEastAsia"/>
                <w:b/>
                <w:bCs/>
                <w:color w:val="000000" w:themeColor="text1"/>
              </w:rPr>
              <w:t>&gt; £10,000</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center"/>
          </w:tcPr>
          <w:p w14:paraId="0664A60D" w14:textId="7FE49049" w:rsidR="5C0AF1C9" w:rsidRDefault="5C0AF1C9" w:rsidP="4A8184AC">
            <w:pPr>
              <w:jc w:val="center"/>
              <w:rPr>
                <w:rFonts w:eastAsiaTheme="minorEastAsia"/>
                <w:b/>
                <w:bCs/>
                <w:color w:val="000000" w:themeColor="text1"/>
              </w:rPr>
            </w:pPr>
            <w:r w:rsidRPr="4A8184AC">
              <w:rPr>
                <w:rFonts w:eastAsiaTheme="minorEastAsia"/>
                <w:b/>
                <w:bCs/>
                <w:color w:val="000000" w:themeColor="text1"/>
              </w:rPr>
              <w:t>Commitments more than £50K</w:t>
            </w:r>
          </w:p>
        </w:tc>
      </w:tr>
      <w:tr w:rsidR="4A8184AC" w14:paraId="3E8BBE03" w14:textId="77777777" w:rsidTr="4A8184AC">
        <w:trPr>
          <w:trHeight w:val="300"/>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5E9D5DC" w14:textId="308122CC" w:rsidR="5C0AF1C9" w:rsidRDefault="5C0AF1C9" w:rsidP="4A8184AC">
            <w:pPr>
              <w:rPr>
                <w:rFonts w:eastAsiaTheme="minorEastAsia"/>
                <w:color w:val="000000" w:themeColor="text1"/>
              </w:rPr>
            </w:pPr>
            <w:r w:rsidRPr="4A8184AC">
              <w:rPr>
                <w:rFonts w:eastAsiaTheme="minorEastAsia"/>
                <w:color w:val="000000" w:themeColor="text1"/>
              </w:rPr>
              <w:t>Authorised Signatories</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720CB7" w14:textId="15B2FD58" w:rsidR="5C0AF1C9" w:rsidRDefault="5C0AF1C9" w:rsidP="4A8184AC">
            <w:pPr>
              <w:jc w:val="center"/>
              <w:rPr>
                <w:rFonts w:eastAsiaTheme="minorEastAsia"/>
                <w:color w:val="000000" w:themeColor="text1"/>
              </w:rPr>
            </w:pPr>
            <w:r w:rsidRPr="4A8184AC">
              <w:rPr>
                <w:rFonts w:eastAsiaTheme="minorEastAsia"/>
                <w:color w:val="000000" w:themeColor="text1"/>
              </w:rPr>
              <w:t>Single L1, L2, L3</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F233FD8" w14:textId="152B8288" w:rsidR="5C0AF1C9" w:rsidRDefault="5C0AF1C9" w:rsidP="4A8184AC">
            <w:pPr>
              <w:jc w:val="center"/>
              <w:rPr>
                <w:rFonts w:eastAsiaTheme="minorEastAsia"/>
                <w:color w:val="000000" w:themeColor="text1"/>
              </w:rPr>
            </w:pPr>
            <w:r w:rsidRPr="4A8184AC">
              <w:rPr>
                <w:rFonts w:eastAsiaTheme="minorEastAsia"/>
                <w:color w:val="000000" w:themeColor="text1"/>
              </w:rPr>
              <w:t>Single L1, L2</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5D0890" w14:textId="45C8C755" w:rsidR="5C0AF1C9" w:rsidRDefault="5C0AF1C9" w:rsidP="4A8184AC">
            <w:pPr>
              <w:jc w:val="center"/>
              <w:rPr>
                <w:rFonts w:eastAsiaTheme="minorEastAsia"/>
                <w:color w:val="000000" w:themeColor="text1"/>
              </w:rPr>
            </w:pPr>
            <w:r w:rsidRPr="4A8184AC">
              <w:rPr>
                <w:rFonts w:eastAsiaTheme="minorEastAsia"/>
                <w:color w:val="000000" w:themeColor="text1"/>
              </w:rPr>
              <w:t>Single L1</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72796" w14:textId="0F6432F7" w:rsidR="5C0AF1C9" w:rsidRDefault="5C0AF1C9" w:rsidP="4A8184AC">
            <w:pPr>
              <w:jc w:val="center"/>
              <w:rPr>
                <w:rFonts w:eastAsiaTheme="minorEastAsia"/>
                <w:color w:val="000000" w:themeColor="text1"/>
              </w:rPr>
            </w:pPr>
            <w:r w:rsidRPr="4A8184AC">
              <w:rPr>
                <w:rFonts w:eastAsiaTheme="minorEastAsia"/>
                <w:color w:val="000000" w:themeColor="text1"/>
              </w:rPr>
              <w:t>Double L1</w:t>
            </w:r>
          </w:p>
        </w:tc>
      </w:tr>
      <w:tr w:rsidR="4A8184AC" w14:paraId="3E01F8CB" w14:textId="77777777" w:rsidTr="4A8184AC">
        <w:trPr>
          <w:trHeight w:val="300"/>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4EF8ADF1" w14:textId="626E6325" w:rsidR="5C0AF1C9" w:rsidRDefault="5C0AF1C9" w:rsidP="4A8184AC">
            <w:pPr>
              <w:rPr>
                <w:rFonts w:eastAsiaTheme="minorEastAsia"/>
                <w:color w:val="000000" w:themeColor="text1"/>
              </w:rPr>
            </w:pPr>
            <w:r w:rsidRPr="4A8184AC">
              <w:rPr>
                <w:rFonts w:eastAsiaTheme="minorEastAsia"/>
                <w:color w:val="000000" w:themeColor="text1"/>
              </w:rPr>
              <w:t>Quotes required</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B86A4B" w14:textId="105918E8" w:rsidR="5C0AF1C9" w:rsidRDefault="5C0AF1C9" w:rsidP="4A8184AC">
            <w:pPr>
              <w:jc w:val="center"/>
              <w:rPr>
                <w:rFonts w:eastAsiaTheme="minorEastAsia"/>
                <w:color w:val="000000" w:themeColor="text1"/>
              </w:rPr>
            </w:pPr>
            <w:r w:rsidRPr="4A8184AC">
              <w:rPr>
                <w:rFonts w:eastAsiaTheme="minorEastAsia"/>
                <w:color w:val="000000" w:themeColor="text1"/>
              </w:rPr>
              <w:t>N/A</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879D56" w14:textId="6F3ADE3A" w:rsidR="5C0AF1C9" w:rsidRDefault="5C0AF1C9" w:rsidP="4A8184AC">
            <w:pPr>
              <w:jc w:val="center"/>
              <w:rPr>
                <w:rFonts w:eastAsiaTheme="minorEastAsia"/>
                <w:color w:val="000000" w:themeColor="text1"/>
              </w:rPr>
            </w:pPr>
            <w:r w:rsidRPr="4A8184AC">
              <w:rPr>
                <w:rFonts w:eastAsiaTheme="minorEastAsia"/>
                <w:color w:val="000000" w:themeColor="text1"/>
              </w:rPr>
              <w:t>3</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A5D83C" w14:textId="4C46544D" w:rsidR="5C0AF1C9" w:rsidRDefault="5C0AF1C9" w:rsidP="4A8184AC">
            <w:pPr>
              <w:jc w:val="center"/>
              <w:rPr>
                <w:rFonts w:eastAsiaTheme="minorEastAsia"/>
                <w:color w:val="000000" w:themeColor="text1"/>
              </w:rPr>
            </w:pPr>
            <w:r w:rsidRPr="4A8184AC">
              <w:rPr>
                <w:rFonts w:eastAsiaTheme="minorEastAsia"/>
                <w:color w:val="000000" w:themeColor="text1"/>
              </w:rPr>
              <w:t>3</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DFBD2C" w14:textId="75149B42" w:rsidR="5C0AF1C9" w:rsidRDefault="5C0AF1C9" w:rsidP="4A8184AC">
            <w:pPr>
              <w:jc w:val="center"/>
              <w:rPr>
                <w:rFonts w:eastAsiaTheme="minorEastAsia"/>
                <w:color w:val="000000" w:themeColor="text1"/>
              </w:rPr>
            </w:pPr>
            <w:r w:rsidRPr="4A8184AC">
              <w:rPr>
                <w:rFonts w:eastAsiaTheme="minorEastAsia"/>
                <w:color w:val="000000" w:themeColor="text1"/>
              </w:rPr>
              <w:t>3</w:t>
            </w:r>
          </w:p>
        </w:tc>
      </w:tr>
      <w:tr w:rsidR="4A8184AC" w14:paraId="4B266026" w14:textId="77777777" w:rsidTr="4A8184AC">
        <w:trPr>
          <w:trHeight w:val="300"/>
        </w:trPr>
        <w:tc>
          <w:tcPr>
            <w:tcW w:w="20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bottom"/>
          </w:tcPr>
          <w:p w14:paraId="1CA1DD4E" w14:textId="2C204E3B" w:rsidR="5C0AF1C9" w:rsidRDefault="5C0AF1C9" w:rsidP="4A8184AC">
            <w:pPr>
              <w:rPr>
                <w:rFonts w:eastAsiaTheme="minorEastAsia"/>
                <w:color w:val="000000" w:themeColor="text1"/>
              </w:rPr>
            </w:pPr>
            <w:r w:rsidRPr="4A8184AC">
              <w:rPr>
                <w:rFonts w:eastAsiaTheme="minorEastAsia"/>
                <w:color w:val="000000" w:themeColor="text1"/>
              </w:rPr>
              <w:t>Bids written</w:t>
            </w:r>
          </w:p>
        </w:tc>
        <w:tc>
          <w:tcPr>
            <w:tcW w:w="16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3205DC" w14:textId="2B17A1B5" w:rsidR="5C0AF1C9" w:rsidRDefault="5C0AF1C9" w:rsidP="4A8184AC">
            <w:pPr>
              <w:jc w:val="center"/>
              <w:rPr>
                <w:rFonts w:eastAsiaTheme="minorEastAsia"/>
                <w:color w:val="000000" w:themeColor="text1"/>
              </w:rPr>
            </w:pPr>
            <w:r w:rsidRPr="4A8184AC">
              <w:rPr>
                <w:rFonts w:eastAsiaTheme="minorEastAsia"/>
                <w:color w:val="000000" w:themeColor="text1"/>
              </w:rPr>
              <w:t>N/A</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9800038" w14:textId="38C2E61A" w:rsidR="5C0AF1C9" w:rsidRDefault="5C0AF1C9" w:rsidP="4A8184AC">
            <w:pPr>
              <w:jc w:val="center"/>
              <w:rPr>
                <w:rFonts w:eastAsiaTheme="minorEastAsia"/>
                <w:color w:val="000000" w:themeColor="text1"/>
              </w:rPr>
            </w:pPr>
            <w:r w:rsidRPr="4A8184AC">
              <w:rPr>
                <w:rFonts w:eastAsiaTheme="minorEastAsia"/>
                <w:color w:val="000000" w:themeColor="text1"/>
              </w:rPr>
              <w:t>N/A</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9D18C6" w14:textId="61509BF7" w:rsidR="5C0AF1C9" w:rsidRDefault="5C0AF1C9" w:rsidP="4A8184AC">
            <w:pPr>
              <w:jc w:val="center"/>
              <w:rPr>
                <w:rFonts w:eastAsiaTheme="minorEastAsia"/>
                <w:color w:val="000000" w:themeColor="text1"/>
              </w:rPr>
            </w:pPr>
            <w:r w:rsidRPr="4A8184AC">
              <w:rPr>
                <w:rFonts w:eastAsiaTheme="minorEastAsia"/>
                <w:color w:val="000000" w:themeColor="text1"/>
              </w:rPr>
              <w:t xml:space="preserve">Yes </w:t>
            </w:r>
          </w:p>
        </w:tc>
        <w:tc>
          <w:tcPr>
            <w:tcW w:w="19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609A2" w14:textId="4BA5D158" w:rsidR="5C0AF1C9" w:rsidRDefault="5C0AF1C9" w:rsidP="4A8184AC">
            <w:pPr>
              <w:jc w:val="center"/>
              <w:rPr>
                <w:rFonts w:eastAsiaTheme="minorEastAsia"/>
                <w:color w:val="000000" w:themeColor="text1"/>
              </w:rPr>
            </w:pPr>
            <w:r w:rsidRPr="4A8184AC">
              <w:rPr>
                <w:rFonts w:eastAsiaTheme="minorEastAsia"/>
                <w:color w:val="000000" w:themeColor="text1"/>
              </w:rPr>
              <w:t>Yes</w:t>
            </w:r>
          </w:p>
        </w:tc>
      </w:tr>
    </w:tbl>
    <w:p w14:paraId="6F23ED36" w14:textId="5B20905B" w:rsidR="5C0AF1C9" w:rsidRDefault="5C0AF1C9" w:rsidP="5C0AF1C9">
      <w:pPr>
        <w:rPr>
          <w:rFonts w:eastAsiaTheme="minorEastAsia"/>
        </w:rPr>
      </w:pPr>
    </w:p>
    <w:p w14:paraId="544728F2" w14:textId="01B56406" w:rsidR="00E87A60" w:rsidRDefault="44D384A7" w:rsidP="5C0AF1C9">
      <w:pPr>
        <w:pStyle w:val="ListParagraph"/>
        <w:numPr>
          <w:ilvl w:val="1"/>
          <w:numId w:val="25"/>
        </w:numPr>
        <w:rPr>
          <w:rFonts w:eastAsiaTheme="minorEastAsia"/>
          <w:color w:val="000000" w:themeColor="text1"/>
        </w:rPr>
      </w:pPr>
      <w:r w:rsidRPr="5C0AF1C9">
        <w:rPr>
          <w:rFonts w:eastAsiaTheme="minorEastAsia"/>
        </w:rPr>
        <w:t xml:space="preserve">All employees that require a product or service must complete a Purchase </w:t>
      </w:r>
      <w:r w:rsidR="00E31075">
        <w:rPr>
          <w:rFonts w:eastAsiaTheme="minorEastAsia"/>
        </w:rPr>
        <w:t>O</w:t>
      </w:r>
      <w:r w:rsidRPr="5C0AF1C9">
        <w:rPr>
          <w:rFonts w:eastAsiaTheme="minorEastAsia"/>
        </w:rPr>
        <w:t>rder</w:t>
      </w:r>
      <w:r w:rsidR="00E31075">
        <w:rPr>
          <w:rFonts w:eastAsiaTheme="minorEastAsia"/>
        </w:rPr>
        <w:t xml:space="preserve"> (PO)</w:t>
      </w:r>
      <w:r w:rsidRPr="5C0AF1C9">
        <w:rPr>
          <w:rFonts w:eastAsiaTheme="minorEastAsia"/>
        </w:rPr>
        <w:t xml:space="preserve"> requisition prior to approval and commitment of expenditure. Any employee is </w:t>
      </w:r>
      <w:proofErr w:type="spellStart"/>
      <w:r w:rsidRPr="5C0AF1C9">
        <w:rPr>
          <w:rFonts w:eastAsiaTheme="minorEastAsia"/>
        </w:rPr>
        <w:t>authorised</w:t>
      </w:r>
      <w:proofErr w:type="spellEnd"/>
      <w:r w:rsidRPr="5C0AF1C9">
        <w:rPr>
          <w:rFonts w:eastAsiaTheme="minorEastAsia"/>
        </w:rPr>
        <w:t xml:space="preserve"> to do this.</w:t>
      </w:r>
    </w:p>
    <w:p w14:paraId="4DC74AD7" w14:textId="75614354" w:rsidR="5C0AF1C9" w:rsidRDefault="5C0AF1C9" w:rsidP="5C0AF1C9">
      <w:pPr>
        <w:rPr>
          <w:rFonts w:eastAsiaTheme="minorEastAsia"/>
        </w:rPr>
      </w:pPr>
    </w:p>
    <w:p w14:paraId="307937B9" w14:textId="3422CE4F" w:rsidR="5C0AF1C9" w:rsidRDefault="5C0AF1C9" w:rsidP="5C0AF1C9">
      <w:pPr>
        <w:pStyle w:val="ListParagraph"/>
        <w:numPr>
          <w:ilvl w:val="1"/>
          <w:numId w:val="25"/>
        </w:numPr>
        <w:rPr>
          <w:rFonts w:eastAsiaTheme="minorEastAsia"/>
          <w:color w:val="000000" w:themeColor="text1"/>
        </w:rPr>
      </w:pPr>
      <w:r w:rsidRPr="5C0AF1C9">
        <w:rPr>
          <w:rFonts w:eastAsiaTheme="minorEastAsia"/>
        </w:rPr>
        <w:t xml:space="preserve">Where a purchase order requisition is not possible, for example an expense claim, the employee must continue to follow the </w:t>
      </w:r>
      <w:proofErr w:type="spellStart"/>
      <w:r w:rsidRPr="5C0AF1C9">
        <w:rPr>
          <w:rFonts w:eastAsiaTheme="minorEastAsia"/>
        </w:rPr>
        <w:t>authorisation</w:t>
      </w:r>
      <w:proofErr w:type="spellEnd"/>
      <w:r w:rsidRPr="5C0AF1C9">
        <w:rPr>
          <w:rFonts w:eastAsiaTheme="minorEastAsia"/>
        </w:rPr>
        <w:t xml:space="preserve"> processes as detailed in table 1 and table 2 of this document, in order to claim a refund.</w:t>
      </w:r>
    </w:p>
    <w:p w14:paraId="29810F09" w14:textId="37F4F8C9" w:rsidR="5C0AF1C9" w:rsidRDefault="5C0AF1C9" w:rsidP="5C0AF1C9">
      <w:pPr>
        <w:rPr>
          <w:rFonts w:eastAsiaTheme="minorEastAsia"/>
        </w:rPr>
      </w:pPr>
    </w:p>
    <w:p w14:paraId="41BD373E" w14:textId="6E4E98B9" w:rsidR="00353474" w:rsidRPr="00353474" w:rsidRDefault="611459B7" w:rsidP="5C0AF1C9">
      <w:pPr>
        <w:pStyle w:val="ListParagraph"/>
        <w:numPr>
          <w:ilvl w:val="1"/>
          <w:numId w:val="25"/>
        </w:numPr>
        <w:rPr>
          <w:rFonts w:eastAsiaTheme="minorEastAsia"/>
          <w:color w:val="000000" w:themeColor="text1"/>
        </w:rPr>
      </w:pPr>
      <w:r w:rsidRPr="5C0AF1C9">
        <w:rPr>
          <w:rFonts w:eastAsiaTheme="minorEastAsia"/>
        </w:rPr>
        <w:t xml:space="preserve">All level 1 2 and 3 buyers are responsible for </w:t>
      </w:r>
      <w:proofErr w:type="spellStart"/>
      <w:r w:rsidRPr="5C0AF1C9">
        <w:rPr>
          <w:rFonts w:eastAsiaTheme="minorEastAsia"/>
        </w:rPr>
        <w:t>authorising</w:t>
      </w:r>
      <w:proofErr w:type="spellEnd"/>
      <w:r w:rsidRPr="5C0AF1C9">
        <w:rPr>
          <w:rFonts w:eastAsiaTheme="minorEastAsia"/>
        </w:rPr>
        <w:t xml:space="preserve"> the expenditure in accordance with table 2 where practical.</w:t>
      </w:r>
    </w:p>
    <w:p w14:paraId="0FA5844E" w14:textId="339011C0" w:rsidR="00353474" w:rsidRPr="00353474" w:rsidRDefault="00353474" w:rsidP="5C0AF1C9">
      <w:pPr>
        <w:rPr>
          <w:rFonts w:eastAsiaTheme="minorEastAsia"/>
        </w:rPr>
      </w:pPr>
    </w:p>
    <w:p w14:paraId="4253DBE8" w14:textId="7D734116" w:rsidR="00353474" w:rsidRPr="00353474" w:rsidRDefault="5C0AF1C9" w:rsidP="5C0AF1C9">
      <w:pPr>
        <w:pStyle w:val="ListParagraph"/>
        <w:numPr>
          <w:ilvl w:val="1"/>
          <w:numId w:val="25"/>
        </w:numPr>
        <w:rPr>
          <w:rFonts w:eastAsiaTheme="minorEastAsia"/>
          <w:color w:val="000000" w:themeColor="text1"/>
        </w:rPr>
      </w:pPr>
      <w:r w:rsidRPr="5C0AF1C9">
        <w:rPr>
          <w:rFonts w:eastAsiaTheme="minorEastAsia"/>
        </w:rPr>
        <w:t xml:space="preserve">All level 1 signatories may sign off any expenditure for any business area but </w:t>
      </w:r>
      <w:r w:rsidR="005D4E73">
        <w:rPr>
          <w:rFonts w:eastAsiaTheme="minorEastAsia"/>
        </w:rPr>
        <w:t xml:space="preserve">are </w:t>
      </w:r>
      <w:r w:rsidRPr="5C0AF1C9">
        <w:rPr>
          <w:rFonts w:eastAsiaTheme="minorEastAsia"/>
        </w:rPr>
        <w:t xml:space="preserve">encouraged to </w:t>
      </w:r>
      <w:r w:rsidR="00264DF3">
        <w:rPr>
          <w:rFonts w:eastAsiaTheme="minorEastAsia"/>
        </w:rPr>
        <w:t>restrict</w:t>
      </w:r>
      <w:r w:rsidR="005D4E73">
        <w:rPr>
          <w:rFonts w:eastAsiaTheme="minorEastAsia"/>
        </w:rPr>
        <w:t xml:space="preserve"> activity</w:t>
      </w:r>
      <w:r w:rsidR="005D4E73" w:rsidRPr="5C0AF1C9">
        <w:rPr>
          <w:rFonts w:eastAsiaTheme="minorEastAsia"/>
        </w:rPr>
        <w:t xml:space="preserve"> </w:t>
      </w:r>
      <w:r w:rsidRPr="5C0AF1C9">
        <w:rPr>
          <w:rFonts w:eastAsiaTheme="minorEastAsia"/>
        </w:rPr>
        <w:t xml:space="preserve">to areas </w:t>
      </w:r>
      <w:r w:rsidR="005D4E73">
        <w:rPr>
          <w:rFonts w:eastAsiaTheme="minorEastAsia"/>
        </w:rPr>
        <w:t>indicated</w:t>
      </w:r>
      <w:r w:rsidR="005D4E73" w:rsidRPr="5C0AF1C9">
        <w:rPr>
          <w:rFonts w:eastAsiaTheme="minorEastAsia"/>
        </w:rPr>
        <w:t xml:space="preserve"> </w:t>
      </w:r>
      <w:r w:rsidRPr="5C0AF1C9">
        <w:rPr>
          <w:rFonts w:eastAsiaTheme="minorEastAsia"/>
        </w:rPr>
        <w:t xml:space="preserve">in Table 1. Level 2 and 3 buyers must </w:t>
      </w:r>
      <w:r w:rsidR="00E31075">
        <w:rPr>
          <w:rFonts w:eastAsiaTheme="minorEastAsia"/>
        </w:rPr>
        <w:t>adhere</w:t>
      </w:r>
      <w:r w:rsidR="00E31075" w:rsidRPr="5C0AF1C9">
        <w:rPr>
          <w:rFonts w:eastAsiaTheme="minorEastAsia"/>
        </w:rPr>
        <w:t xml:space="preserve"> </w:t>
      </w:r>
      <w:r w:rsidRPr="5C0AF1C9">
        <w:rPr>
          <w:rFonts w:eastAsiaTheme="minorEastAsia"/>
        </w:rPr>
        <w:t xml:space="preserve">to areas outlined in Table 1 by way of </w:t>
      </w:r>
      <w:proofErr w:type="spellStart"/>
      <w:r w:rsidRPr="5C0AF1C9">
        <w:rPr>
          <w:rFonts w:eastAsiaTheme="minorEastAsia"/>
        </w:rPr>
        <w:t>authorisation</w:t>
      </w:r>
      <w:proofErr w:type="spellEnd"/>
      <w:r w:rsidRPr="5C0AF1C9">
        <w:rPr>
          <w:rFonts w:eastAsiaTheme="minorEastAsia"/>
        </w:rPr>
        <w:t xml:space="preserve">. This will ensure we are following ICMP procurement principle </w:t>
      </w:r>
      <w:r w:rsidR="005D4E73">
        <w:rPr>
          <w:rFonts w:eastAsiaTheme="minorEastAsia"/>
        </w:rPr>
        <w:t>3.</w:t>
      </w:r>
    </w:p>
    <w:p w14:paraId="2C681CCF" w14:textId="5E7D139F" w:rsidR="00353474" w:rsidRPr="00353474" w:rsidRDefault="00353474" w:rsidP="5C0AF1C9">
      <w:pPr>
        <w:rPr>
          <w:rFonts w:eastAsiaTheme="minorEastAsia"/>
        </w:rPr>
      </w:pPr>
    </w:p>
    <w:p w14:paraId="738CC397" w14:textId="3C4E5AB1" w:rsidR="00353474" w:rsidRPr="00353474" w:rsidRDefault="5C0AF1C9" w:rsidP="6F9EAC04">
      <w:pPr>
        <w:pStyle w:val="ListParagraph"/>
        <w:numPr>
          <w:ilvl w:val="1"/>
          <w:numId w:val="25"/>
        </w:numPr>
        <w:rPr>
          <w:rFonts w:eastAsiaTheme="minorEastAsia"/>
          <w:color w:val="000000" w:themeColor="text1"/>
        </w:rPr>
      </w:pPr>
      <w:r w:rsidRPr="6F9EAC04">
        <w:rPr>
          <w:rFonts w:eastAsiaTheme="minorEastAsia"/>
        </w:rPr>
        <w:t xml:space="preserve">Where expenditure exceeds £5,000 the buyer </w:t>
      </w:r>
      <w:r w:rsidR="005D4E73">
        <w:rPr>
          <w:rFonts w:eastAsiaTheme="minorEastAsia"/>
        </w:rPr>
        <w:t>must have</w:t>
      </w:r>
      <w:r w:rsidRPr="6F9EAC04">
        <w:rPr>
          <w:rFonts w:eastAsiaTheme="minorEastAsia"/>
        </w:rPr>
        <w:t xml:space="preserve"> obtained and considered </w:t>
      </w:r>
      <w:r w:rsidR="005D4E73">
        <w:rPr>
          <w:rFonts w:eastAsiaTheme="minorEastAsia"/>
        </w:rPr>
        <w:t>three</w:t>
      </w:r>
      <w:r w:rsidRPr="6F9EAC04">
        <w:rPr>
          <w:rFonts w:eastAsiaTheme="minorEastAsia"/>
        </w:rPr>
        <w:t xml:space="preserve"> written or verbal quotes (where possible) before </w:t>
      </w:r>
      <w:r w:rsidR="005D4E73">
        <w:rPr>
          <w:rFonts w:eastAsiaTheme="minorEastAsia"/>
        </w:rPr>
        <w:t>issuing the PO</w:t>
      </w:r>
      <w:r w:rsidRPr="6F9EAC04">
        <w:rPr>
          <w:rFonts w:eastAsiaTheme="minorEastAsia"/>
        </w:rPr>
        <w:t>.</w:t>
      </w:r>
    </w:p>
    <w:p w14:paraId="23602D11" w14:textId="013D1C19" w:rsidR="6F9EAC04" w:rsidRDefault="6F9EAC04" w:rsidP="6F9EAC04">
      <w:pPr>
        <w:rPr>
          <w:rFonts w:eastAsiaTheme="minorEastAsia"/>
        </w:rPr>
      </w:pPr>
    </w:p>
    <w:p w14:paraId="41897994" w14:textId="1C680E63" w:rsidR="00353474" w:rsidRPr="00353474" w:rsidRDefault="005D4E73" w:rsidP="4A8184AC">
      <w:pPr>
        <w:pStyle w:val="ListParagraph"/>
        <w:numPr>
          <w:ilvl w:val="1"/>
          <w:numId w:val="25"/>
        </w:numPr>
        <w:rPr>
          <w:rFonts w:eastAsiaTheme="minorEastAsia"/>
          <w:color w:val="000000" w:themeColor="text1"/>
          <w:lang w:val="en-GB"/>
        </w:rPr>
      </w:pPr>
      <w:r>
        <w:rPr>
          <w:color w:val="000000" w:themeColor="text1"/>
          <w:lang w:val="en-GB"/>
        </w:rPr>
        <w:t xml:space="preserve">Buyers should </w:t>
      </w:r>
      <w:r w:rsidR="003B0E63" w:rsidRPr="4A8184AC">
        <w:rPr>
          <w:color w:val="000000" w:themeColor="text1"/>
          <w:lang w:val="en-GB"/>
        </w:rPr>
        <w:t>not recommend</w:t>
      </w:r>
      <w:r w:rsidR="6F9EAC04" w:rsidRPr="4A8184AC">
        <w:rPr>
          <w:color w:val="000000" w:themeColor="text1"/>
          <w:lang w:val="en-GB"/>
        </w:rPr>
        <w:t xml:space="preserve"> or use a known service or supplier that </w:t>
      </w:r>
      <w:r>
        <w:rPr>
          <w:color w:val="000000" w:themeColor="text1"/>
          <w:lang w:val="en-GB"/>
        </w:rPr>
        <w:t>is assessed to</w:t>
      </w:r>
      <w:r w:rsidR="6F9EAC04" w:rsidRPr="4A8184AC">
        <w:rPr>
          <w:color w:val="000000" w:themeColor="text1"/>
          <w:lang w:val="en-GB"/>
        </w:rPr>
        <w:t xml:space="preserve"> not have reasonable preventative measures in place with regards to the facilitation of tax evasion). Buyers should ask to see company policy if in doubt. </w:t>
      </w:r>
    </w:p>
    <w:p w14:paraId="4C3E3E8B" w14:textId="3F2847F8" w:rsidR="00353474" w:rsidRPr="00353474" w:rsidRDefault="00353474" w:rsidP="4A8184AC">
      <w:pPr>
        <w:rPr>
          <w:rFonts w:eastAsiaTheme="minorEastAsia"/>
          <w:color w:val="000000" w:themeColor="text1"/>
        </w:rPr>
      </w:pPr>
    </w:p>
    <w:p w14:paraId="152D394C" w14:textId="1EB3CA3F" w:rsidR="00200231" w:rsidRPr="00264DF3" w:rsidRDefault="5C0AF1C9" w:rsidP="00264DF3">
      <w:pPr>
        <w:pStyle w:val="ListParagraph"/>
        <w:rPr>
          <w:color w:val="000000" w:themeColor="text1"/>
        </w:rPr>
      </w:pPr>
      <w:r w:rsidRPr="4A8184AC">
        <w:rPr>
          <w:rFonts w:eastAsiaTheme="minorEastAsia"/>
        </w:rPr>
        <w:t xml:space="preserve">For commitments that are related in total to a project </w:t>
      </w:r>
      <w:r w:rsidR="003B0E63" w:rsidRPr="4A8184AC">
        <w:rPr>
          <w:rFonts w:eastAsiaTheme="minorEastAsia"/>
        </w:rPr>
        <w:t>more than</w:t>
      </w:r>
      <w:r w:rsidRPr="4A8184AC">
        <w:rPr>
          <w:rFonts w:eastAsiaTheme="minorEastAsia"/>
        </w:rPr>
        <w:t xml:space="preserve"> £50k the following process should be used</w:t>
      </w:r>
    </w:p>
    <w:p w14:paraId="6C77D30A" w14:textId="0595757F" w:rsidR="0093411C" w:rsidRPr="00200231" w:rsidRDefault="5C0AF1C9" w:rsidP="00264DF3">
      <w:pPr>
        <w:pStyle w:val="ListParagraph"/>
        <w:numPr>
          <w:ilvl w:val="1"/>
          <w:numId w:val="25"/>
        </w:numPr>
        <w:rPr>
          <w:rFonts w:eastAsiaTheme="minorEastAsia"/>
        </w:rPr>
      </w:pPr>
      <w:r w:rsidRPr="00200231">
        <w:rPr>
          <w:rFonts w:eastAsiaTheme="minorEastAsia"/>
        </w:rPr>
        <w:t xml:space="preserve">Detail the scope clearly, </w:t>
      </w:r>
    </w:p>
    <w:p w14:paraId="5DEE0E2A" w14:textId="23B2BCA0" w:rsidR="0093411C" w:rsidRPr="00264DF3" w:rsidRDefault="5C0AF1C9" w:rsidP="00264DF3">
      <w:pPr>
        <w:pStyle w:val="ListParagraph"/>
        <w:numPr>
          <w:ilvl w:val="1"/>
          <w:numId w:val="25"/>
        </w:numPr>
        <w:rPr>
          <w:rFonts w:eastAsiaTheme="minorEastAsia"/>
        </w:rPr>
      </w:pPr>
      <w:r w:rsidRPr="00200231">
        <w:rPr>
          <w:rFonts w:eastAsiaTheme="minorEastAsia"/>
        </w:rPr>
        <w:t xml:space="preserve">Identify </w:t>
      </w:r>
      <w:r w:rsidR="00200231">
        <w:rPr>
          <w:rFonts w:eastAsiaTheme="minorEastAsia"/>
        </w:rPr>
        <w:t xml:space="preserve">qualified </w:t>
      </w:r>
      <w:r w:rsidRPr="00200231">
        <w:rPr>
          <w:rFonts w:eastAsiaTheme="minorEastAsia"/>
        </w:rPr>
        <w:t>suppliers and present a short list for review to a panel who will consider the ICMP’s procurement policy and principles in its decision-making process.</w:t>
      </w:r>
    </w:p>
    <w:p w14:paraId="105D86A2" w14:textId="6B9F8212" w:rsidR="00200231" w:rsidRPr="00264DF3" w:rsidRDefault="5C0AF1C9" w:rsidP="00264DF3">
      <w:pPr>
        <w:pStyle w:val="ListParagraph"/>
        <w:numPr>
          <w:ilvl w:val="1"/>
          <w:numId w:val="25"/>
        </w:numPr>
        <w:rPr>
          <w:rFonts w:eastAsiaTheme="minorEastAsia"/>
        </w:rPr>
      </w:pPr>
      <w:r w:rsidRPr="00264DF3">
        <w:rPr>
          <w:rFonts w:eastAsiaTheme="minorEastAsia"/>
        </w:rPr>
        <w:lastRenderedPageBreak/>
        <w:t>Negotiate the best value from a selected supplier or contractor</w:t>
      </w:r>
      <w:r w:rsidR="00200231">
        <w:rPr>
          <w:rFonts w:eastAsiaTheme="minorEastAsia"/>
        </w:rPr>
        <w:br/>
      </w:r>
      <w:r w:rsidRPr="00264DF3">
        <w:rPr>
          <w:rFonts w:eastAsiaTheme="minorEastAsia"/>
        </w:rPr>
        <w:t xml:space="preserve">Present the final contract cost to </w:t>
      </w:r>
      <w:proofErr w:type="spellStart"/>
      <w:r w:rsidRPr="00264DF3">
        <w:rPr>
          <w:rFonts w:eastAsiaTheme="minorEastAsia"/>
        </w:rPr>
        <w:t>Ex</w:t>
      </w:r>
      <w:r w:rsidR="00200231">
        <w:rPr>
          <w:rFonts w:eastAsiaTheme="minorEastAsia"/>
        </w:rPr>
        <w:t>C</w:t>
      </w:r>
      <w:r w:rsidRPr="00264DF3">
        <w:rPr>
          <w:rFonts w:eastAsiaTheme="minorEastAsia"/>
        </w:rPr>
        <w:t>o</w:t>
      </w:r>
      <w:proofErr w:type="spellEnd"/>
      <w:r w:rsidRPr="00264DF3">
        <w:rPr>
          <w:rFonts w:eastAsiaTheme="minorEastAsia"/>
        </w:rPr>
        <w:t xml:space="preserve"> for approval and inclusion into budget </w:t>
      </w:r>
      <w:r w:rsidR="009031B4">
        <w:rPr>
          <w:rFonts w:eastAsiaTheme="minorEastAsia"/>
        </w:rPr>
        <w:t>expenditure</w:t>
      </w:r>
    </w:p>
    <w:p w14:paraId="01C666AB" w14:textId="49AE07AC" w:rsidR="00353474" w:rsidRPr="00264DF3" w:rsidRDefault="5C0AF1C9" w:rsidP="00264DF3">
      <w:pPr>
        <w:pStyle w:val="ListParagraph"/>
        <w:numPr>
          <w:ilvl w:val="1"/>
          <w:numId w:val="25"/>
        </w:numPr>
        <w:rPr>
          <w:rFonts w:eastAsiaTheme="minorEastAsia"/>
        </w:rPr>
      </w:pPr>
      <w:r w:rsidRPr="00264DF3">
        <w:rPr>
          <w:rFonts w:eastAsiaTheme="minorEastAsia"/>
        </w:rPr>
        <w:t xml:space="preserve">Signatories of that project spend should be </w:t>
      </w:r>
      <w:proofErr w:type="spellStart"/>
      <w:r w:rsidRPr="00264DF3">
        <w:rPr>
          <w:rFonts w:eastAsiaTheme="minorEastAsia"/>
        </w:rPr>
        <w:t>authorised</w:t>
      </w:r>
      <w:proofErr w:type="spellEnd"/>
      <w:r w:rsidRPr="00264DF3">
        <w:rPr>
          <w:rFonts w:eastAsiaTheme="minorEastAsia"/>
        </w:rPr>
        <w:t xml:space="preserve"> in accordance with table 2.</w:t>
      </w:r>
    </w:p>
    <w:p w14:paraId="188D13C2" w14:textId="21EB5461" w:rsidR="6F9EAC04" w:rsidRDefault="6F9EAC04" w:rsidP="6F9EAC04">
      <w:pPr>
        <w:spacing w:line="259" w:lineRule="auto"/>
        <w:rPr>
          <w:rFonts w:eastAsiaTheme="minorEastAsia"/>
        </w:rPr>
      </w:pPr>
    </w:p>
    <w:p w14:paraId="198DD132" w14:textId="3B2786E8" w:rsidR="00353474" w:rsidRPr="00353474" w:rsidRDefault="00353474" w:rsidP="5C0AF1C9">
      <w:pPr>
        <w:rPr>
          <w:rFonts w:eastAsiaTheme="minorEastAsia"/>
        </w:rPr>
      </w:pPr>
    </w:p>
    <w:p w14:paraId="500C795E" w14:textId="0612BEB5" w:rsidR="00353474" w:rsidRPr="00353474" w:rsidRDefault="5C0AF1C9" w:rsidP="5C0AF1C9">
      <w:pPr>
        <w:pStyle w:val="ListParagraph"/>
        <w:numPr>
          <w:ilvl w:val="0"/>
          <w:numId w:val="25"/>
        </w:numPr>
        <w:spacing w:line="259" w:lineRule="auto"/>
        <w:rPr>
          <w:rFonts w:eastAsiaTheme="minorEastAsia"/>
          <w:b/>
          <w:bCs/>
          <w:color w:val="000000" w:themeColor="text1"/>
        </w:rPr>
      </w:pPr>
      <w:r w:rsidRPr="6F9EAC04">
        <w:rPr>
          <w:rFonts w:eastAsiaTheme="minorEastAsia"/>
          <w:b/>
          <w:bCs/>
        </w:rPr>
        <w:t xml:space="preserve">Code of conduct </w:t>
      </w:r>
      <w:r w:rsidR="009031B4">
        <w:rPr>
          <w:rFonts w:eastAsiaTheme="minorEastAsia"/>
          <w:b/>
          <w:bCs/>
        </w:rPr>
        <w:br/>
      </w:r>
    </w:p>
    <w:p w14:paraId="49758F83" w14:textId="7953F950" w:rsidR="00353474" w:rsidRPr="00264DF3" w:rsidRDefault="00353474" w:rsidP="00264DF3">
      <w:pPr>
        <w:pStyle w:val="ListParagraph"/>
        <w:numPr>
          <w:ilvl w:val="1"/>
          <w:numId w:val="25"/>
        </w:numPr>
        <w:spacing w:line="259" w:lineRule="auto"/>
        <w:rPr>
          <w:rFonts w:eastAsiaTheme="minorEastAsia"/>
        </w:rPr>
      </w:pPr>
      <w:r w:rsidRPr="00264DF3">
        <w:rPr>
          <w:rFonts w:eastAsiaTheme="minorEastAsia"/>
        </w:rPr>
        <w:tab/>
      </w:r>
      <w:r w:rsidR="5C0AF1C9" w:rsidRPr="5C0AF1C9">
        <w:rPr>
          <w:rFonts w:eastAsiaTheme="minorEastAsia"/>
        </w:rPr>
        <w:t>All employees are expected to conduct themselves in a professional and ethical manner, maintaining high standards of integrity and transparency with both internal and external stakeholders.</w:t>
      </w:r>
    </w:p>
    <w:p w14:paraId="2D61E9C1" w14:textId="232CC082" w:rsidR="00353474" w:rsidRPr="00353474" w:rsidRDefault="00353474" w:rsidP="5C0AF1C9">
      <w:pPr>
        <w:spacing w:line="259" w:lineRule="auto"/>
        <w:rPr>
          <w:rFonts w:eastAsiaTheme="minorEastAsia"/>
        </w:rPr>
      </w:pPr>
    </w:p>
    <w:p w14:paraId="106EAFBE" w14:textId="74170C02" w:rsidR="00353474" w:rsidRPr="00353474" w:rsidRDefault="19A0DE29" w:rsidP="5C0AF1C9">
      <w:pPr>
        <w:pStyle w:val="ListParagraph"/>
        <w:numPr>
          <w:ilvl w:val="0"/>
          <w:numId w:val="25"/>
        </w:numPr>
        <w:rPr>
          <w:rFonts w:eastAsiaTheme="minorEastAsia"/>
          <w:b/>
          <w:bCs/>
        </w:rPr>
      </w:pPr>
      <w:r w:rsidRPr="6F9EAC04">
        <w:rPr>
          <w:rFonts w:eastAsiaTheme="minorEastAsia"/>
          <w:b/>
          <w:bCs/>
        </w:rPr>
        <w:t>Definitions</w:t>
      </w:r>
    </w:p>
    <w:p w14:paraId="4B749CC0" w14:textId="462133C0" w:rsidR="00353474" w:rsidRPr="00353474" w:rsidRDefault="5C0AF1C9" w:rsidP="5C0AF1C9">
      <w:pPr>
        <w:pStyle w:val="ListParagraph"/>
        <w:numPr>
          <w:ilvl w:val="1"/>
          <w:numId w:val="25"/>
        </w:numPr>
        <w:spacing w:line="259" w:lineRule="auto"/>
        <w:rPr>
          <w:rFonts w:eastAsiaTheme="minorEastAsia"/>
          <w:color w:val="000000" w:themeColor="text1"/>
        </w:rPr>
      </w:pPr>
      <w:r w:rsidRPr="6F9EAC04">
        <w:rPr>
          <w:rFonts w:eastAsiaTheme="minorEastAsia"/>
        </w:rPr>
        <w:t>‘ABC’ – Anti Bribery and Corruption</w:t>
      </w:r>
    </w:p>
    <w:p w14:paraId="33D16735" w14:textId="6509A239" w:rsidR="00353474" w:rsidRPr="00353474" w:rsidRDefault="5C0AF1C9" w:rsidP="5C0AF1C9">
      <w:pPr>
        <w:pStyle w:val="ListParagraph"/>
        <w:numPr>
          <w:ilvl w:val="1"/>
          <w:numId w:val="25"/>
        </w:numPr>
        <w:spacing w:line="259" w:lineRule="auto"/>
        <w:rPr>
          <w:rFonts w:eastAsiaTheme="minorEastAsia"/>
          <w:color w:val="000000" w:themeColor="text1"/>
        </w:rPr>
      </w:pPr>
      <w:r w:rsidRPr="6F9EAC04">
        <w:rPr>
          <w:rFonts w:eastAsiaTheme="minorEastAsia"/>
        </w:rPr>
        <w:t>‘Budget Head’ - ICMP delegate in charge of managing the costs and expenditure of a designated departmental area of the business.</w:t>
      </w:r>
    </w:p>
    <w:p w14:paraId="47A24A73" w14:textId="26878E07" w:rsidR="00353474" w:rsidRPr="00353474" w:rsidRDefault="5C0AF1C9" w:rsidP="5C0AF1C9">
      <w:pPr>
        <w:pStyle w:val="ListParagraph"/>
        <w:numPr>
          <w:ilvl w:val="1"/>
          <w:numId w:val="25"/>
        </w:numPr>
        <w:spacing w:line="259" w:lineRule="auto"/>
        <w:rPr>
          <w:rFonts w:eastAsiaTheme="minorEastAsia"/>
          <w:color w:val="000000" w:themeColor="text1"/>
        </w:rPr>
      </w:pPr>
      <w:r w:rsidRPr="6F9EAC04">
        <w:rPr>
          <w:rFonts w:eastAsiaTheme="minorEastAsia"/>
        </w:rPr>
        <w:t xml:space="preserve">‘Buyers’ - Level 1, 2 or 3 </w:t>
      </w:r>
      <w:proofErr w:type="spellStart"/>
      <w:r w:rsidRPr="6F9EAC04">
        <w:rPr>
          <w:rFonts w:eastAsiaTheme="minorEastAsia"/>
        </w:rPr>
        <w:t>authorised</w:t>
      </w:r>
      <w:proofErr w:type="spellEnd"/>
      <w:r w:rsidRPr="6F9EAC04">
        <w:rPr>
          <w:rFonts w:eastAsiaTheme="minorEastAsia"/>
        </w:rPr>
        <w:t xml:space="preserve"> employees of ICMP in charge of committing the business to a budgeted expenditure.</w:t>
      </w:r>
    </w:p>
    <w:p w14:paraId="0F733F48" w14:textId="2932E53D" w:rsidR="00353474" w:rsidRPr="00353474" w:rsidRDefault="5C0AF1C9" w:rsidP="5C0AF1C9">
      <w:pPr>
        <w:pStyle w:val="ListParagraph"/>
        <w:numPr>
          <w:ilvl w:val="1"/>
          <w:numId w:val="25"/>
        </w:numPr>
        <w:spacing w:line="259" w:lineRule="auto"/>
        <w:rPr>
          <w:rFonts w:eastAsiaTheme="minorEastAsia"/>
          <w:color w:val="000000" w:themeColor="text1"/>
        </w:rPr>
      </w:pPr>
      <w:r w:rsidRPr="6F9EAC04">
        <w:rPr>
          <w:rFonts w:eastAsiaTheme="minorEastAsia"/>
        </w:rPr>
        <w:t>‘CCO’ - Corporate Criminal Offences</w:t>
      </w:r>
    </w:p>
    <w:p w14:paraId="428950B9" w14:textId="7BB0F115" w:rsidR="00353474" w:rsidRPr="00353474" w:rsidRDefault="5C0AF1C9" w:rsidP="5C0AF1C9">
      <w:pPr>
        <w:pStyle w:val="ListParagraph"/>
        <w:numPr>
          <w:ilvl w:val="1"/>
          <w:numId w:val="25"/>
        </w:numPr>
        <w:spacing w:line="259" w:lineRule="auto"/>
        <w:rPr>
          <w:rFonts w:eastAsiaTheme="minorEastAsia"/>
          <w:color w:val="000000" w:themeColor="text1"/>
        </w:rPr>
      </w:pPr>
      <w:r w:rsidRPr="6F9EAC04">
        <w:rPr>
          <w:rFonts w:eastAsiaTheme="minorEastAsia"/>
        </w:rPr>
        <w:t>‘PO’ - Purchase Order</w:t>
      </w:r>
    </w:p>
    <w:p w14:paraId="6A0920A1" w14:textId="4E1DBE5F" w:rsidR="00353474" w:rsidRPr="00353474" w:rsidRDefault="00353474" w:rsidP="5C0AF1C9">
      <w:pPr>
        <w:pStyle w:val="ListParagraph"/>
        <w:rPr>
          <w:rFonts w:eastAsiaTheme="minorEastAsia"/>
        </w:rPr>
      </w:pPr>
    </w:p>
    <w:p w14:paraId="3E94B5A4" w14:textId="5D206277" w:rsidR="00353474" w:rsidRDefault="19A0DE29" w:rsidP="5C0AF1C9">
      <w:pPr>
        <w:pStyle w:val="ListParagraph"/>
        <w:numPr>
          <w:ilvl w:val="0"/>
          <w:numId w:val="25"/>
        </w:numPr>
        <w:rPr>
          <w:rFonts w:eastAsiaTheme="minorEastAsia"/>
          <w:b/>
          <w:bCs/>
        </w:rPr>
      </w:pPr>
      <w:r w:rsidRPr="6F9EAC04">
        <w:rPr>
          <w:rFonts w:eastAsiaTheme="minorEastAsia"/>
          <w:b/>
          <w:bCs/>
        </w:rPr>
        <w:t xml:space="preserve">Monitoring and Review </w:t>
      </w:r>
      <w:r w:rsidR="009031B4">
        <w:rPr>
          <w:rFonts w:eastAsiaTheme="minorEastAsia"/>
          <w:b/>
          <w:bCs/>
        </w:rPr>
        <w:br/>
      </w:r>
    </w:p>
    <w:p w14:paraId="1C0AF78E" w14:textId="3718E484" w:rsidR="00675551" w:rsidRPr="0027494E" w:rsidRDefault="5C0F9DE7" w:rsidP="5C0AF1C9">
      <w:pPr>
        <w:pStyle w:val="ListParagraph"/>
        <w:numPr>
          <w:ilvl w:val="1"/>
          <w:numId w:val="25"/>
        </w:numPr>
        <w:rPr>
          <w:rFonts w:eastAsiaTheme="minorEastAsia"/>
          <w:color w:val="000000" w:themeColor="text1"/>
        </w:rPr>
      </w:pPr>
      <w:r w:rsidRPr="6F9EAC04">
        <w:rPr>
          <w:rFonts w:eastAsiaTheme="minorEastAsia"/>
        </w:rPr>
        <w:t xml:space="preserve">This policy will be reviewed in accordance with the ICMP annual policy review. </w:t>
      </w:r>
    </w:p>
    <w:sectPr w:rsidR="00675551" w:rsidRPr="0027494E" w:rsidSect="005D3217">
      <w:headerReference w:type="default" r:id="rId11"/>
      <w:headerReference w:type="first" r:id="rId12"/>
      <w:pgSz w:w="11906" w:h="16838"/>
      <w:pgMar w:top="1440" w:right="1440" w:bottom="1440" w:left="1440" w:header="709" w:footer="1004" w:gutter="0"/>
      <w:cols w:space="720"/>
      <w:formProt w:val="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A54E" w14:textId="77777777" w:rsidR="00FC20B6" w:rsidRDefault="00FC20B6">
      <w:r>
        <w:separator/>
      </w:r>
    </w:p>
  </w:endnote>
  <w:endnote w:type="continuationSeparator" w:id="0">
    <w:p w14:paraId="4BABF573" w14:textId="77777777" w:rsidR="00FC20B6" w:rsidRDefault="00FC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ACC3E" w14:textId="77777777" w:rsidR="00FC20B6" w:rsidRDefault="00FC20B6">
      <w:r>
        <w:separator/>
      </w:r>
    </w:p>
  </w:footnote>
  <w:footnote w:type="continuationSeparator" w:id="0">
    <w:p w14:paraId="1EB17EC3" w14:textId="77777777" w:rsidR="00FC20B6" w:rsidRDefault="00FC2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7CC2C" w14:textId="2BC809AE" w:rsidR="005D3217" w:rsidRDefault="005D3217">
    <w:pPr>
      <w:pStyle w:val="Header"/>
    </w:pPr>
  </w:p>
  <w:p w14:paraId="4FA567CF" w14:textId="77777777" w:rsidR="00ED606E" w:rsidRDefault="00ED606E">
    <w:pPr>
      <w:tabs>
        <w:tab w:val="left" w:pos="8749"/>
      </w:tabs>
      <w:spacing w:after="76" w:line="200" w:lineRule="exact"/>
      <w:ind w:left="7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C1228" w14:textId="26CB3448" w:rsidR="005D3217" w:rsidRDefault="005D3217">
    <w:pPr>
      <w:pStyle w:val="Header"/>
    </w:pPr>
    <w:r w:rsidRPr="00EE539D">
      <w:rPr>
        <w:noProof/>
        <w:lang w:eastAsia="en-GB"/>
      </w:rPr>
      <w:drawing>
        <wp:anchor distT="0" distB="0" distL="114300" distR="114300" simplePos="0" relativeHeight="251659264" behindDoc="1" locked="0" layoutInCell="1" allowOverlap="1" wp14:anchorId="5CA17304" wp14:editId="238F1BEC">
          <wp:simplePos x="0" y="0"/>
          <wp:positionH relativeFrom="margin">
            <wp:align>right</wp:align>
          </wp:positionH>
          <wp:positionV relativeFrom="paragraph">
            <wp:posOffset>-145415</wp:posOffset>
          </wp:positionV>
          <wp:extent cx="1106640" cy="1275120"/>
          <wp:effectExtent l="0" t="0" r="0" b="1270"/>
          <wp:wrapTight wrapText="bothSides">
            <wp:wrapPolygon edited="0">
              <wp:start x="0" y="0"/>
              <wp:lineTo x="0" y="21299"/>
              <wp:lineTo x="21203" y="21299"/>
              <wp:lineTo x="21203" y="0"/>
              <wp:lineTo x="0" y="0"/>
            </wp:wrapPolygon>
          </wp:wrapTight>
          <wp:docPr id="13" name="Picture 2"/>
          <wp:cNvGraphicFramePr/>
          <a:graphic xmlns:a="http://schemas.openxmlformats.org/drawingml/2006/main">
            <a:graphicData uri="http://schemas.openxmlformats.org/drawingml/2006/picture">
              <pic:pic xmlns:pic="http://schemas.openxmlformats.org/drawingml/2006/picture">
                <pic:nvPicPr>
                  <pic:cNvPr id="40" name="Picture 2"/>
                  <pic:cNvPicPr/>
                </pic:nvPicPr>
                <pic:blipFill>
                  <a:blip r:embed="rId1">
                    <a:extLst>
                      <a:ext uri="{28A0092B-C50C-407E-A947-70E740481C1C}">
                        <a14:useLocalDpi xmlns:a14="http://schemas.microsoft.com/office/drawing/2010/main" val="0"/>
                      </a:ext>
                    </a:extLst>
                  </a:blip>
                  <a:stretch/>
                </pic:blipFill>
                <pic:spPr>
                  <a:xfrm>
                    <a:off x="0" y="0"/>
                    <a:ext cx="1106640" cy="1275120"/>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DE9"/>
    <w:multiLevelType w:val="hybridMultilevel"/>
    <w:tmpl w:val="05B8B194"/>
    <w:lvl w:ilvl="0" w:tplc="F666365E">
      <w:start w:val="1"/>
      <w:numFmt w:val="bullet"/>
      <w:lvlText w:val="-"/>
      <w:lvlJc w:val="left"/>
      <w:pPr>
        <w:ind w:left="720" w:hanging="360"/>
      </w:pPr>
      <w:rPr>
        <w:rFonts w:ascii="Calibri" w:hAnsi="Calibri" w:hint="default"/>
      </w:rPr>
    </w:lvl>
    <w:lvl w:ilvl="1" w:tplc="FA8C87C6">
      <w:start w:val="1"/>
      <w:numFmt w:val="bullet"/>
      <w:lvlText w:val="o"/>
      <w:lvlJc w:val="left"/>
      <w:pPr>
        <w:ind w:left="1440" w:hanging="360"/>
      </w:pPr>
      <w:rPr>
        <w:rFonts w:ascii="Courier New" w:hAnsi="Courier New" w:hint="default"/>
      </w:rPr>
    </w:lvl>
    <w:lvl w:ilvl="2" w:tplc="22A69F58">
      <w:start w:val="1"/>
      <w:numFmt w:val="bullet"/>
      <w:lvlText w:val=""/>
      <w:lvlJc w:val="left"/>
      <w:pPr>
        <w:ind w:left="2160" w:hanging="360"/>
      </w:pPr>
      <w:rPr>
        <w:rFonts w:ascii="Wingdings" w:hAnsi="Wingdings" w:hint="default"/>
      </w:rPr>
    </w:lvl>
    <w:lvl w:ilvl="3" w:tplc="79B455E6">
      <w:start w:val="1"/>
      <w:numFmt w:val="bullet"/>
      <w:lvlText w:val=""/>
      <w:lvlJc w:val="left"/>
      <w:pPr>
        <w:ind w:left="2880" w:hanging="360"/>
      </w:pPr>
      <w:rPr>
        <w:rFonts w:ascii="Symbol" w:hAnsi="Symbol" w:hint="default"/>
      </w:rPr>
    </w:lvl>
    <w:lvl w:ilvl="4" w:tplc="EED4EE28">
      <w:start w:val="1"/>
      <w:numFmt w:val="bullet"/>
      <w:lvlText w:val="o"/>
      <w:lvlJc w:val="left"/>
      <w:pPr>
        <w:ind w:left="3600" w:hanging="360"/>
      </w:pPr>
      <w:rPr>
        <w:rFonts w:ascii="Courier New" w:hAnsi="Courier New" w:hint="default"/>
      </w:rPr>
    </w:lvl>
    <w:lvl w:ilvl="5" w:tplc="0E2E793A">
      <w:start w:val="1"/>
      <w:numFmt w:val="bullet"/>
      <w:lvlText w:val=""/>
      <w:lvlJc w:val="left"/>
      <w:pPr>
        <w:ind w:left="4320" w:hanging="360"/>
      </w:pPr>
      <w:rPr>
        <w:rFonts w:ascii="Wingdings" w:hAnsi="Wingdings" w:hint="default"/>
      </w:rPr>
    </w:lvl>
    <w:lvl w:ilvl="6" w:tplc="43E04716">
      <w:start w:val="1"/>
      <w:numFmt w:val="bullet"/>
      <w:lvlText w:val=""/>
      <w:lvlJc w:val="left"/>
      <w:pPr>
        <w:ind w:left="5040" w:hanging="360"/>
      </w:pPr>
      <w:rPr>
        <w:rFonts w:ascii="Symbol" w:hAnsi="Symbol" w:hint="default"/>
      </w:rPr>
    </w:lvl>
    <w:lvl w:ilvl="7" w:tplc="96EC833E">
      <w:start w:val="1"/>
      <w:numFmt w:val="bullet"/>
      <w:lvlText w:val="o"/>
      <w:lvlJc w:val="left"/>
      <w:pPr>
        <w:ind w:left="5760" w:hanging="360"/>
      </w:pPr>
      <w:rPr>
        <w:rFonts w:ascii="Courier New" w:hAnsi="Courier New" w:hint="default"/>
      </w:rPr>
    </w:lvl>
    <w:lvl w:ilvl="8" w:tplc="79E49776">
      <w:start w:val="1"/>
      <w:numFmt w:val="bullet"/>
      <w:lvlText w:val=""/>
      <w:lvlJc w:val="left"/>
      <w:pPr>
        <w:ind w:left="6480" w:hanging="360"/>
      </w:pPr>
      <w:rPr>
        <w:rFonts w:ascii="Wingdings" w:hAnsi="Wingdings" w:hint="default"/>
      </w:rPr>
    </w:lvl>
  </w:abstractNum>
  <w:abstractNum w:abstractNumId="1" w15:restartNumberingAfterBreak="0">
    <w:nsid w:val="058D1F3E"/>
    <w:multiLevelType w:val="multilevel"/>
    <w:tmpl w:val="81ECA0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DCE4BEB"/>
    <w:multiLevelType w:val="hybridMultilevel"/>
    <w:tmpl w:val="6AB07D32"/>
    <w:lvl w:ilvl="0" w:tplc="7A0A34E2">
      <w:start w:val="1"/>
      <w:numFmt w:val="bullet"/>
      <w:lvlText w:val="-"/>
      <w:lvlJc w:val="left"/>
      <w:pPr>
        <w:ind w:left="720" w:hanging="360"/>
      </w:pPr>
      <w:rPr>
        <w:rFonts w:ascii="Calibri" w:hAnsi="Calibri" w:hint="default"/>
      </w:rPr>
    </w:lvl>
    <w:lvl w:ilvl="1" w:tplc="0D84E592">
      <w:start w:val="1"/>
      <w:numFmt w:val="bullet"/>
      <w:lvlText w:val="o"/>
      <w:lvlJc w:val="left"/>
      <w:pPr>
        <w:ind w:left="1440" w:hanging="360"/>
      </w:pPr>
      <w:rPr>
        <w:rFonts w:ascii="Courier New" w:hAnsi="Courier New" w:hint="default"/>
      </w:rPr>
    </w:lvl>
    <w:lvl w:ilvl="2" w:tplc="C8BA0244">
      <w:start w:val="1"/>
      <w:numFmt w:val="bullet"/>
      <w:lvlText w:val=""/>
      <w:lvlJc w:val="left"/>
      <w:pPr>
        <w:ind w:left="2160" w:hanging="360"/>
      </w:pPr>
      <w:rPr>
        <w:rFonts w:ascii="Wingdings" w:hAnsi="Wingdings" w:hint="default"/>
      </w:rPr>
    </w:lvl>
    <w:lvl w:ilvl="3" w:tplc="36E41BDC">
      <w:start w:val="1"/>
      <w:numFmt w:val="bullet"/>
      <w:lvlText w:val=""/>
      <w:lvlJc w:val="left"/>
      <w:pPr>
        <w:ind w:left="2880" w:hanging="360"/>
      </w:pPr>
      <w:rPr>
        <w:rFonts w:ascii="Symbol" w:hAnsi="Symbol" w:hint="default"/>
      </w:rPr>
    </w:lvl>
    <w:lvl w:ilvl="4" w:tplc="3298418E">
      <w:start w:val="1"/>
      <w:numFmt w:val="bullet"/>
      <w:lvlText w:val="o"/>
      <w:lvlJc w:val="left"/>
      <w:pPr>
        <w:ind w:left="3600" w:hanging="360"/>
      </w:pPr>
      <w:rPr>
        <w:rFonts w:ascii="Courier New" w:hAnsi="Courier New" w:hint="default"/>
      </w:rPr>
    </w:lvl>
    <w:lvl w:ilvl="5" w:tplc="6C06A16A">
      <w:start w:val="1"/>
      <w:numFmt w:val="bullet"/>
      <w:lvlText w:val=""/>
      <w:lvlJc w:val="left"/>
      <w:pPr>
        <w:ind w:left="4320" w:hanging="360"/>
      </w:pPr>
      <w:rPr>
        <w:rFonts w:ascii="Wingdings" w:hAnsi="Wingdings" w:hint="default"/>
      </w:rPr>
    </w:lvl>
    <w:lvl w:ilvl="6" w:tplc="E788D252">
      <w:start w:val="1"/>
      <w:numFmt w:val="bullet"/>
      <w:lvlText w:val=""/>
      <w:lvlJc w:val="left"/>
      <w:pPr>
        <w:ind w:left="5040" w:hanging="360"/>
      </w:pPr>
      <w:rPr>
        <w:rFonts w:ascii="Symbol" w:hAnsi="Symbol" w:hint="default"/>
      </w:rPr>
    </w:lvl>
    <w:lvl w:ilvl="7" w:tplc="228845F8">
      <w:start w:val="1"/>
      <w:numFmt w:val="bullet"/>
      <w:lvlText w:val="o"/>
      <w:lvlJc w:val="left"/>
      <w:pPr>
        <w:ind w:left="5760" w:hanging="360"/>
      </w:pPr>
      <w:rPr>
        <w:rFonts w:ascii="Courier New" w:hAnsi="Courier New" w:hint="default"/>
      </w:rPr>
    </w:lvl>
    <w:lvl w:ilvl="8" w:tplc="89BEA9D8">
      <w:start w:val="1"/>
      <w:numFmt w:val="bullet"/>
      <w:lvlText w:val=""/>
      <w:lvlJc w:val="left"/>
      <w:pPr>
        <w:ind w:left="6480" w:hanging="360"/>
      </w:pPr>
      <w:rPr>
        <w:rFonts w:ascii="Wingdings" w:hAnsi="Wingdings" w:hint="default"/>
      </w:rPr>
    </w:lvl>
  </w:abstractNum>
  <w:abstractNum w:abstractNumId="3" w15:restartNumberingAfterBreak="0">
    <w:nsid w:val="177B1067"/>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71498A"/>
    <w:multiLevelType w:val="hybridMultilevel"/>
    <w:tmpl w:val="CDD05352"/>
    <w:lvl w:ilvl="0" w:tplc="E61EA640">
      <w:numFmt w:val="none"/>
      <w:lvlText w:val=""/>
      <w:lvlJc w:val="left"/>
      <w:pPr>
        <w:tabs>
          <w:tab w:val="num" w:pos="360"/>
        </w:tabs>
      </w:pPr>
    </w:lvl>
    <w:lvl w:ilvl="1" w:tplc="86C00BE4">
      <w:start w:val="1"/>
      <w:numFmt w:val="lowerLetter"/>
      <w:lvlText w:val="%2."/>
      <w:lvlJc w:val="left"/>
      <w:pPr>
        <w:ind w:left="1440" w:hanging="360"/>
      </w:pPr>
    </w:lvl>
    <w:lvl w:ilvl="2" w:tplc="6B6C67F0">
      <w:start w:val="1"/>
      <w:numFmt w:val="lowerRoman"/>
      <w:lvlText w:val="%3."/>
      <w:lvlJc w:val="right"/>
      <w:pPr>
        <w:ind w:left="2160" w:hanging="180"/>
      </w:pPr>
    </w:lvl>
    <w:lvl w:ilvl="3" w:tplc="C810BB02">
      <w:start w:val="1"/>
      <w:numFmt w:val="decimal"/>
      <w:lvlText w:val="%4."/>
      <w:lvlJc w:val="left"/>
      <w:pPr>
        <w:ind w:left="2880" w:hanging="360"/>
      </w:pPr>
    </w:lvl>
    <w:lvl w:ilvl="4" w:tplc="BC6CFD10">
      <w:start w:val="1"/>
      <w:numFmt w:val="lowerLetter"/>
      <w:lvlText w:val="%5."/>
      <w:lvlJc w:val="left"/>
      <w:pPr>
        <w:ind w:left="3600" w:hanging="360"/>
      </w:pPr>
    </w:lvl>
    <w:lvl w:ilvl="5" w:tplc="ECF03BC4">
      <w:start w:val="1"/>
      <w:numFmt w:val="lowerRoman"/>
      <w:lvlText w:val="%6."/>
      <w:lvlJc w:val="right"/>
      <w:pPr>
        <w:ind w:left="4320" w:hanging="180"/>
      </w:pPr>
    </w:lvl>
    <w:lvl w:ilvl="6" w:tplc="5B0084CC">
      <w:start w:val="1"/>
      <w:numFmt w:val="decimal"/>
      <w:lvlText w:val="%7."/>
      <w:lvlJc w:val="left"/>
      <w:pPr>
        <w:ind w:left="5040" w:hanging="360"/>
      </w:pPr>
    </w:lvl>
    <w:lvl w:ilvl="7" w:tplc="FA567576">
      <w:start w:val="1"/>
      <w:numFmt w:val="lowerLetter"/>
      <w:lvlText w:val="%8."/>
      <w:lvlJc w:val="left"/>
      <w:pPr>
        <w:ind w:left="5760" w:hanging="360"/>
      </w:pPr>
    </w:lvl>
    <w:lvl w:ilvl="8" w:tplc="BD8065A2">
      <w:start w:val="1"/>
      <w:numFmt w:val="lowerRoman"/>
      <w:lvlText w:val="%9."/>
      <w:lvlJc w:val="right"/>
      <w:pPr>
        <w:ind w:left="6480" w:hanging="180"/>
      </w:pPr>
    </w:lvl>
  </w:abstractNum>
  <w:abstractNum w:abstractNumId="5" w15:restartNumberingAfterBreak="0">
    <w:nsid w:val="1C8376B3"/>
    <w:multiLevelType w:val="hybridMultilevel"/>
    <w:tmpl w:val="1A4AF4EE"/>
    <w:lvl w:ilvl="0" w:tplc="F74A7DB0">
      <w:start w:val="1"/>
      <w:numFmt w:val="upperLetter"/>
      <w:lvlText w:val="%1."/>
      <w:lvlJc w:val="left"/>
      <w:pPr>
        <w:ind w:left="720" w:hanging="360"/>
      </w:pPr>
    </w:lvl>
    <w:lvl w:ilvl="1" w:tplc="40345824">
      <w:start w:val="1"/>
      <w:numFmt w:val="lowerLetter"/>
      <w:lvlText w:val="%2."/>
      <w:lvlJc w:val="left"/>
      <w:pPr>
        <w:ind w:left="1440" w:hanging="360"/>
      </w:pPr>
    </w:lvl>
    <w:lvl w:ilvl="2" w:tplc="E4E2706C">
      <w:start w:val="1"/>
      <w:numFmt w:val="lowerRoman"/>
      <w:lvlText w:val="%3."/>
      <w:lvlJc w:val="right"/>
      <w:pPr>
        <w:ind w:left="2160" w:hanging="180"/>
      </w:pPr>
    </w:lvl>
    <w:lvl w:ilvl="3" w:tplc="7C181234">
      <w:start w:val="1"/>
      <w:numFmt w:val="decimal"/>
      <w:lvlText w:val="%4."/>
      <w:lvlJc w:val="left"/>
      <w:pPr>
        <w:ind w:left="2880" w:hanging="360"/>
      </w:pPr>
    </w:lvl>
    <w:lvl w:ilvl="4" w:tplc="A5E255EA">
      <w:start w:val="1"/>
      <w:numFmt w:val="lowerLetter"/>
      <w:lvlText w:val="%5."/>
      <w:lvlJc w:val="left"/>
      <w:pPr>
        <w:ind w:left="3600" w:hanging="360"/>
      </w:pPr>
    </w:lvl>
    <w:lvl w:ilvl="5" w:tplc="5B9CD1A0">
      <w:start w:val="1"/>
      <w:numFmt w:val="lowerRoman"/>
      <w:lvlText w:val="%6."/>
      <w:lvlJc w:val="right"/>
      <w:pPr>
        <w:ind w:left="4320" w:hanging="180"/>
      </w:pPr>
    </w:lvl>
    <w:lvl w:ilvl="6" w:tplc="85F480DC">
      <w:start w:val="1"/>
      <w:numFmt w:val="decimal"/>
      <w:lvlText w:val="%7."/>
      <w:lvlJc w:val="left"/>
      <w:pPr>
        <w:ind w:left="5040" w:hanging="360"/>
      </w:pPr>
    </w:lvl>
    <w:lvl w:ilvl="7" w:tplc="D6C01DF0">
      <w:start w:val="1"/>
      <w:numFmt w:val="lowerLetter"/>
      <w:lvlText w:val="%8."/>
      <w:lvlJc w:val="left"/>
      <w:pPr>
        <w:ind w:left="5760" w:hanging="360"/>
      </w:pPr>
    </w:lvl>
    <w:lvl w:ilvl="8" w:tplc="EFA64728">
      <w:start w:val="1"/>
      <w:numFmt w:val="lowerRoman"/>
      <w:lvlText w:val="%9."/>
      <w:lvlJc w:val="right"/>
      <w:pPr>
        <w:ind w:left="6480" w:hanging="180"/>
      </w:pPr>
    </w:lvl>
  </w:abstractNum>
  <w:abstractNum w:abstractNumId="6" w15:restartNumberingAfterBreak="0">
    <w:nsid w:val="28FB5FBE"/>
    <w:multiLevelType w:val="multilevel"/>
    <w:tmpl w:val="AFAE1B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296E1858"/>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BDF29D4"/>
    <w:multiLevelType w:val="hybridMultilevel"/>
    <w:tmpl w:val="ED96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6F4AE6"/>
    <w:multiLevelType w:val="multilevel"/>
    <w:tmpl w:val="34B4440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47292BD7"/>
    <w:multiLevelType w:val="hybridMultilevel"/>
    <w:tmpl w:val="28BC3496"/>
    <w:lvl w:ilvl="0" w:tplc="D21C1FC8">
      <w:start w:val="1"/>
      <w:numFmt w:val="bullet"/>
      <w:lvlText w:val="-"/>
      <w:lvlJc w:val="left"/>
      <w:pPr>
        <w:ind w:left="720" w:hanging="360"/>
      </w:pPr>
      <w:rPr>
        <w:rFonts w:ascii="Calibri" w:hAnsi="Calibri" w:hint="default"/>
      </w:rPr>
    </w:lvl>
    <w:lvl w:ilvl="1" w:tplc="9AF8BE50">
      <w:start w:val="1"/>
      <w:numFmt w:val="bullet"/>
      <w:lvlText w:val="o"/>
      <w:lvlJc w:val="left"/>
      <w:pPr>
        <w:ind w:left="1440" w:hanging="360"/>
      </w:pPr>
      <w:rPr>
        <w:rFonts w:ascii="Courier New" w:hAnsi="Courier New" w:hint="default"/>
      </w:rPr>
    </w:lvl>
    <w:lvl w:ilvl="2" w:tplc="93B6452A">
      <w:start w:val="1"/>
      <w:numFmt w:val="bullet"/>
      <w:lvlText w:val=""/>
      <w:lvlJc w:val="left"/>
      <w:pPr>
        <w:ind w:left="2160" w:hanging="360"/>
      </w:pPr>
      <w:rPr>
        <w:rFonts w:ascii="Wingdings" w:hAnsi="Wingdings" w:hint="default"/>
      </w:rPr>
    </w:lvl>
    <w:lvl w:ilvl="3" w:tplc="B89E2AA6">
      <w:start w:val="1"/>
      <w:numFmt w:val="bullet"/>
      <w:lvlText w:val=""/>
      <w:lvlJc w:val="left"/>
      <w:pPr>
        <w:ind w:left="2880" w:hanging="360"/>
      </w:pPr>
      <w:rPr>
        <w:rFonts w:ascii="Symbol" w:hAnsi="Symbol" w:hint="default"/>
      </w:rPr>
    </w:lvl>
    <w:lvl w:ilvl="4" w:tplc="A8100A5E">
      <w:start w:val="1"/>
      <w:numFmt w:val="bullet"/>
      <w:lvlText w:val="o"/>
      <w:lvlJc w:val="left"/>
      <w:pPr>
        <w:ind w:left="3600" w:hanging="360"/>
      </w:pPr>
      <w:rPr>
        <w:rFonts w:ascii="Courier New" w:hAnsi="Courier New" w:hint="default"/>
      </w:rPr>
    </w:lvl>
    <w:lvl w:ilvl="5" w:tplc="35F8B7F8">
      <w:start w:val="1"/>
      <w:numFmt w:val="bullet"/>
      <w:lvlText w:val=""/>
      <w:lvlJc w:val="left"/>
      <w:pPr>
        <w:ind w:left="4320" w:hanging="360"/>
      </w:pPr>
      <w:rPr>
        <w:rFonts w:ascii="Wingdings" w:hAnsi="Wingdings" w:hint="default"/>
      </w:rPr>
    </w:lvl>
    <w:lvl w:ilvl="6" w:tplc="2EB4F570">
      <w:start w:val="1"/>
      <w:numFmt w:val="bullet"/>
      <w:lvlText w:val=""/>
      <w:lvlJc w:val="left"/>
      <w:pPr>
        <w:ind w:left="5040" w:hanging="360"/>
      </w:pPr>
      <w:rPr>
        <w:rFonts w:ascii="Symbol" w:hAnsi="Symbol" w:hint="default"/>
      </w:rPr>
    </w:lvl>
    <w:lvl w:ilvl="7" w:tplc="7030570E">
      <w:start w:val="1"/>
      <w:numFmt w:val="bullet"/>
      <w:lvlText w:val="o"/>
      <w:lvlJc w:val="left"/>
      <w:pPr>
        <w:ind w:left="5760" w:hanging="360"/>
      </w:pPr>
      <w:rPr>
        <w:rFonts w:ascii="Courier New" w:hAnsi="Courier New" w:hint="default"/>
      </w:rPr>
    </w:lvl>
    <w:lvl w:ilvl="8" w:tplc="0A06E8D4">
      <w:start w:val="1"/>
      <w:numFmt w:val="bullet"/>
      <w:lvlText w:val=""/>
      <w:lvlJc w:val="left"/>
      <w:pPr>
        <w:ind w:left="6480" w:hanging="360"/>
      </w:pPr>
      <w:rPr>
        <w:rFonts w:ascii="Wingdings" w:hAnsi="Wingdings" w:hint="default"/>
      </w:rPr>
    </w:lvl>
  </w:abstractNum>
  <w:abstractNum w:abstractNumId="11" w15:restartNumberingAfterBreak="0">
    <w:nsid w:val="48FD574F"/>
    <w:multiLevelType w:val="hybridMultilevel"/>
    <w:tmpl w:val="83D6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D7F62"/>
    <w:multiLevelType w:val="multilevel"/>
    <w:tmpl w:val="5E36A0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59D0408B"/>
    <w:multiLevelType w:val="multilevel"/>
    <w:tmpl w:val="96F6C4F8"/>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rPr>
    </w:lvl>
    <w:lvl w:ilvl="8">
      <w:start w:val="1"/>
      <w:numFmt w:val="bullet"/>
      <w:lvlText w:val=""/>
      <w:lvlJc w:val="left"/>
      <w:pPr>
        <w:ind w:left="7272" w:hanging="360"/>
      </w:pPr>
      <w:rPr>
        <w:rFonts w:ascii="Wingdings" w:hAnsi="Wingdings" w:cs="Wingdings" w:hint="default"/>
      </w:rPr>
    </w:lvl>
  </w:abstractNum>
  <w:abstractNum w:abstractNumId="14" w15:restartNumberingAfterBreak="0">
    <w:nsid w:val="5BAA495D"/>
    <w:multiLevelType w:val="hybridMultilevel"/>
    <w:tmpl w:val="7A188922"/>
    <w:lvl w:ilvl="0" w:tplc="08090001">
      <w:start w:val="1"/>
      <w:numFmt w:val="bullet"/>
      <w:lvlText w:val=""/>
      <w:lvlJc w:val="left"/>
      <w:pPr>
        <w:ind w:left="1735" w:hanging="360"/>
      </w:pPr>
      <w:rPr>
        <w:rFonts w:ascii="Symbol" w:hAnsi="Symbol" w:hint="default"/>
      </w:rPr>
    </w:lvl>
    <w:lvl w:ilvl="1" w:tplc="08090003" w:tentative="1">
      <w:start w:val="1"/>
      <w:numFmt w:val="bullet"/>
      <w:lvlText w:val="o"/>
      <w:lvlJc w:val="left"/>
      <w:pPr>
        <w:ind w:left="2455" w:hanging="360"/>
      </w:pPr>
      <w:rPr>
        <w:rFonts w:ascii="Courier New" w:hAnsi="Courier New" w:cs="Courier New" w:hint="default"/>
      </w:rPr>
    </w:lvl>
    <w:lvl w:ilvl="2" w:tplc="08090005" w:tentative="1">
      <w:start w:val="1"/>
      <w:numFmt w:val="bullet"/>
      <w:lvlText w:val=""/>
      <w:lvlJc w:val="left"/>
      <w:pPr>
        <w:ind w:left="3175" w:hanging="360"/>
      </w:pPr>
      <w:rPr>
        <w:rFonts w:ascii="Wingdings" w:hAnsi="Wingdings" w:hint="default"/>
      </w:rPr>
    </w:lvl>
    <w:lvl w:ilvl="3" w:tplc="08090001" w:tentative="1">
      <w:start w:val="1"/>
      <w:numFmt w:val="bullet"/>
      <w:lvlText w:val=""/>
      <w:lvlJc w:val="left"/>
      <w:pPr>
        <w:ind w:left="3895" w:hanging="360"/>
      </w:pPr>
      <w:rPr>
        <w:rFonts w:ascii="Symbol" w:hAnsi="Symbol" w:hint="default"/>
      </w:rPr>
    </w:lvl>
    <w:lvl w:ilvl="4" w:tplc="08090003" w:tentative="1">
      <w:start w:val="1"/>
      <w:numFmt w:val="bullet"/>
      <w:lvlText w:val="o"/>
      <w:lvlJc w:val="left"/>
      <w:pPr>
        <w:ind w:left="4615" w:hanging="360"/>
      </w:pPr>
      <w:rPr>
        <w:rFonts w:ascii="Courier New" w:hAnsi="Courier New" w:cs="Courier New" w:hint="default"/>
      </w:rPr>
    </w:lvl>
    <w:lvl w:ilvl="5" w:tplc="08090005" w:tentative="1">
      <w:start w:val="1"/>
      <w:numFmt w:val="bullet"/>
      <w:lvlText w:val=""/>
      <w:lvlJc w:val="left"/>
      <w:pPr>
        <w:ind w:left="5335" w:hanging="360"/>
      </w:pPr>
      <w:rPr>
        <w:rFonts w:ascii="Wingdings" w:hAnsi="Wingdings" w:hint="default"/>
      </w:rPr>
    </w:lvl>
    <w:lvl w:ilvl="6" w:tplc="08090001" w:tentative="1">
      <w:start w:val="1"/>
      <w:numFmt w:val="bullet"/>
      <w:lvlText w:val=""/>
      <w:lvlJc w:val="left"/>
      <w:pPr>
        <w:ind w:left="6055" w:hanging="360"/>
      </w:pPr>
      <w:rPr>
        <w:rFonts w:ascii="Symbol" w:hAnsi="Symbol" w:hint="default"/>
      </w:rPr>
    </w:lvl>
    <w:lvl w:ilvl="7" w:tplc="08090003" w:tentative="1">
      <w:start w:val="1"/>
      <w:numFmt w:val="bullet"/>
      <w:lvlText w:val="o"/>
      <w:lvlJc w:val="left"/>
      <w:pPr>
        <w:ind w:left="6775" w:hanging="360"/>
      </w:pPr>
      <w:rPr>
        <w:rFonts w:ascii="Courier New" w:hAnsi="Courier New" w:cs="Courier New" w:hint="default"/>
      </w:rPr>
    </w:lvl>
    <w:lvl w:ilvl="8" w:tplc="08090005" w:tentative="1">
      <w:start w:val="1"/>
      <w:numFmt w:val="bullet"/>
      <w:lvlText w:val=""/>
      <w:lvlJc w:val="left"/>
      <w:pPr>
        <w:ind w:left="7495" w:hanging="360"/>
      </w:pPr>
      <w:rPr>
        <w:rFonts w:ascii="Wingdings" w:hAnsi="Wingdings" w:hint="default"/>
      </w:rPr>
    </w:lvl>
  </w:abstractNum>
  <w:abstractNum w:abstractNumId="15" w15:restartNumberingAfterBreak="0">
    <w:nsid w:val="60AF60DA"/>
    <w:multiLevelType w:val="multilevel"/>
    <w:tmpl w:val="8B3864D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83A38FB"/>
    <w:multiLevelType w:val="multilevel"/>
    <w:tmpl w:val="8CC26524"/>
    <w:lvl w:ilvl="0">
      <w:start w:val="1"/>
      <w:numFmt w:val="decimal"/>
      <w:lvlText w:val="%1."/>
      <w:lvlJc w:val="left"/>
      <w:pPr>
        <w:ind w:left="360" w:hanging="360"/>
      </w:pPr>
    </w:lvl>
    <w:lvl w:ilvl="1">
      <w:start w:val="1"/>
      <w:numFmt w:val="decimal"/>
      <w:lvlText w:val="%1.%2."/>
      <w:lvlJc w:val="left"/>
      <w:pPr>
        <w:ind w:left="792" w:hanging="432"/>
      </w:pPr>
      <w:rPr>
        <w:b w:val="0"/>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88213FD"/>
    <w:multiLevelType w:val="multilevel"/>
    <w:tmpl w:val="F058EC9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8" w15:restartNumberingAfterBreak="0">
    <w:nsid w:val="69522C2F"/>
    <w:multiLevelType w:val="multilevel"/>
    <w:tmpl w:val="86C4AF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6A01685B"/>
    <w:multiLevelType w:val="multilevel"/>
    <w:tmpl w:val="8548966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6B27782C"/>
    <w:multiLevelType w:val="hybridMultilevel"/>
    <w:tmpl w:val="F87C3020"/>
    <w:lvl w:ilvl="0" w:tplc="6B10D59E">
      <w:start w:val="1"/>
      <w:numFmt w:val="none"/>
      <w:suff w:val="nothing"/>
      <w:lvlText w:val=""/>
      <w:lvlJc w:val="left"/>
      <w:pPr>
        <w:tabs>
          <w:tab w:val="num" w:pos="432"/>
        </w:tabs>
        <w:ind w:left="432" w:hanging="432"/>
      </w:pPr>
    </w:lvl>
    <w:lvl w:ilvl="1" w:tplc="B5BC70E0">
      <w:start w:val="1"/>
      <w:numFmt w:val="none"/>
      <w:suff w:val="nothing"/>
      <w:lvlText w:val=""/>
      <w:lvlJc w:val="left"/>
      <w:pPr>
        <w:tabs>
          <w:tab w:val="num" w:pos="576"/>
        </w:tabs>
        <w:ind w:left="576" w:hanging="576"/>
      </w:pPr>
    </w:lvl>
    <w:lvl w:ilvl="2" w:tplc="AAC851A8">
      <w:start w:val="1"/>
      <w:numFmt w:val="none"/>
      <w:suff w:val="nothing"/>
      <w:lvlText w:val=""/>
      <w:lvlJc w:val="left"/>
      <w:pPr>
        <w:tabs>
          <w:tab w:val="num" w:pos="720"/>
        </w:tabs>
        <w:ind w:left="720" w:hanging="720"/>
      </w:pPr>
    </w:lvl>
    <w:lvl w:ilvl="3" w:tplc="18C483B2">
      <w:start w:val="1"/>
      <w:numFmt w:val="none"/>
      <w:suff w:val="nothing"/>
      <w:lvlText w:val=""/>
      <w:lvlJc w:val="left"/>
      <w:pPr>
        <w:tabs>
          <w:tab w:val="num" w:pos="864"/>
        </w:tabs>
        <w:ind w:left="864" w:hanging="864"/>
      </w:pPr>
    </w:lvl>
    <w:lvl w:ilvl="4" w:tplc="AE601F86">
      <w:start w:val="1"/>
      <w:numFmt w:val="none"/>
      <w:suff w:val="nothing"/>
      <w:lvlText w:val=""/>
      <w:lvlJc w:val="left"/>
      <w:pPr>
        <w:tabs>
          <w:tab w:val="num" w:pos="1008"/>
        </w:tabs>
        <w:ind w:left="1008" w:hanging="1008"/>
      </w:pPr>
    </w:lvl>
    <w:lvl w:ilvl="5" w:tplc="B9C432C4">
      <w:start w:val="1"/>
      <w:numFmt w:val="none"/>
      <w:suff w:val="nothing"/>
      <w:lvlText w:val=""/>
      <w:lvlJc w:val="left"/>
      <w:pPr>
        <w:tabs>
          <w:tab w:val="num" w:pos="1152"/>
        </w:tabs>
        <w:ind w:left="1152" w:hanging="1152"/>
      </w:pPr>
    </w:lvl>
    <w:lvl w:ilvl="6" w:tplc="D51C2FFC">
      <w:start w:val="1"/>
      <w:numFmt w:val="none"/>
      <w:suff w:val="nothing"/>
      <w:lvlText w:val=""/>
      <w:lvlJc w:val="left"/>
      <w:pPr>
        <w:tabs>
          <w:tab w:val="num" w:pos="1296"/>
        </w:tabs>
        <w:ind w:left="1296" w:hanging="1296"/>
      </w:pPr>
    </w:lvl>
    <w:lvl w:ilvl="7" w:tplc="66BCCA9A">
      <w:start w:val="1"/>
      <w:numFmt w:val="none"/>
      <w:suff w:val="nothing"/>
      <w:lvlText w:val=""/>
      <w:lvlJc w:val="left"/>
      <w:pPr>
        <w:tabs>
          <w:tab w:val="num" w:pos="1440"/>
        </w:tabs>
        <w:ind w:left="1440" w:hanging="1440"/>
      </w:pPr>
    </w:lvl>
    <w:lvl w:ilvl="8" w:tplc="F9445178">
      <w:start w:val="1"/>
      <w:numFmt w:val="none"/>
      <w:suff w:val="nothing"/>
      <w:lvlText w:val=""/>
      <w:lvlJc w:val="left"/>
      <w:pPr>
        <w:tabs>
          <w:tab w:val="num" w:pos="1584"/>
        </w:tabs>
        <w:ind w:left="1584" w:hanging="1584"/>
      </w:pPr>
    </w:lvl>
  </w:abstractNum>
  <w:abstractNum w:abstractNumId="21" w15:restartNumberingAfterBreak="0">
    <w:nsid w:val="6F4869E7"/>
    <w:multiLevelType w:val="multilevel"/>
    <w:tmpl w:val="16FE500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41092B"/>
    <w:multiLevelType w:val="hybridMultilevel"/>
    <w:tmpl w:val="BAA4BC56"/>
    <w:lvl w:ilvl="0" w:tplc="B0C4F342">
      <w:start w:val="1"/>
      <w:numFmt w:val="bullet"/>
      <w:lvlText w:val=""/>
      <w:lvlJc w:val="left"/>
      <w:pPr>
        <w:ind w:left="1080" w:hanging="360"/>
      </w:pPr>
      <w:rPr>
        <w:rFonts w:ascii="Symbol" w:hAnsi="Symbol" w:cs="Symbol" w:hint="default"/>
      </w:rPr>
    </w:lvl>
    <w:lvl w:ilvl="1" w:tplc="D07CCA46">
      <w:start w:val="1"/>
      <w:numFmt w:val="bullet"/>
      <w:lvlText w:val="o"/>
      <w:lvlJc w:val="left"/>
      <w:pPr>
        <w:ind w:left="1800" w:hanging="360"/>
      </w:pPr>
      <w:rPr>
        <w:rFonts w:ascii="Courier New" w:hAnsi="Courier New" w:cs="Courier New" w:hint="default"/>
      </w:rPr>
    </w:lvl>
    <w:lvl w:ilvl="2" w:tplc="65BA0052">
      <w:start w:val="1"/>
      <w:numFmt w:val="bullet"/>
      <w:lvlText w:val=""/>
      <w:lvlJc w:val="left"/>
      <w:pPr>
        <w:ind w:left="2520" w:hanging="360"/>
      </w:pPr>
      <w:rPr>
        <w:rFonts w:ascii="Wingdings" w:hAnsi="Wingdings" w:cs="Wingdings" w:hint="default"/>
      </w:rPr>
    </w:lvl>
    <w:lvl w:ilvl="3" w:tplc="877E4EC8">
      <w:start w:val="1"/>
      <w:numFmt w:val="bullet"/>
      <w:lvlText w:val=""/>
      <w:lvlJc w:val="left"/>
      <w:pPr>
        <w:ind w:left="3240" w:hanging="360"/>
      </w:pPr>
      <w:rPr>
        <w:rFonts w:ascii="Symbol" w:hAnsi="Symbol" w:cs="Symbol" w:hint="default"/>
      </w:rPr>
    </w:lvl>
    <w:lvl w:ilvl="4" w:tplc="D9A66B30">
      <w:start w:val="1"/>
      <w:numFmt w:val="bullet"/>
      <w:lvlText w:val="o"/>
      <w:lvlJc w:val="left"/>
      <w:pPr>
        <w:ind w:left="3960" w:hanging="360"/>
      </w:pPr>
      <w:rPr>
        <w:rFonts w:ascii="Courier New" w:hAnsi="Courier New" w:cs="Courier New" w:hint="default"/>
      </w:rPr>
    </w:lvl>
    <w:lvl w:ilvl="5" w:tplc="7C1A634A">
      <w:start w:val="1"/>
      <w:numFmt w:val="bullet"/>
      <w:lvlText w:val=""/>
      <w:lvlJc w:val="left"/>
      <w:pPr>
        <w:ind w:left="4680" w:hanging="360"/>
      </w:pPr>
      <w:rPr>
        <w:rFonts w:ascii="Wingdings" w:hAnsi="Wingdings" w:cs="Wingdings" w:hint="default"/>
      </w:rPr>
    </w:lvl>
    <w:lvl w:ilvl="6" w:tplc="97FC1A9E">
      <w:start w:val="1"/>
      <w:numFmt w:val="bullet"/>
      <w:lvlText w:val=""/>
      <w:lvlJc w:val="left"/>
      <w:pPr>
        <w:ind w:left="5400" w:hanging="360"/>
      </w:pPr>
      <w:rPr>
        <w:rFonts w:ascii="Symbol" w:hAnsi="Symbol" w:cs="Symbol" w:hint="default"/>
      </w:rPr>
    </w:lvl>
    <w:lvl w:ilvl="7" w:tplc="60064800">
      <w:start w:val="1"/>
      <w:numFmt w:val="bullet"/>
      <w:lvlText w:val="o"/>
      <w:lvlJc w:val="left"/>
      <w:pPr>
        <w:ind w:left="6120" w:hanging="360"/>
      </w:pPr>
      <w:rPr>
        <w:rFonts w:ascii="Courier New" w:hAnsi="Courier New" w:cs="Courier New" w:hint="default"/>
      </w:rPr>
    </w:lvl>
    <w:lvl w:ilvl="8" w:tplc="972877CA">
      <w:start w:val="1"/>
      <w:numFmt w:val="bullet"/>
      <w:lvlText w:val=""/>
      <w:lvlJc w:val="left"/>
      <w:pPr>
        <w:ind w:left="6840" w:hanging="360"/>
      </w:pPr>
      <w:rPr>
        <w:rFonts w:ascii="Wingdings" w:hAnsi="Wingdings" w:cs="Wingdings" w:hint="default"/>
      </w:rPr>
    </w:lvl>
  </w:abstractNum>
  <w:abstractNum w:abstractNumId="23" w15:restartNumberingAfterBreak="0">
    <w:nsid w:val="771F2F0D"/>
    <w:multiLevelType w:val="multilevel"/>
    <w:tmpl w:val="8140007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7DF0600"/>
    <w:multiLevelType w:val="multilevel"/>
    <w:tmpl w:val="D0CA4BB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0"/>
  </w:num>
  <w:num w:numId="2">
    <w:abstractNumId w:val="17"/>
  </w:num>
  <w:num w:numId="3">
    <w:abstractNumId w:val="18"/>
  </w:num>
  <w:num w:numId="4">
    <w:abstractNumId w:val="19"/>
  </w:num>
  <w:num w:numId="5">
    <w:abstractNumId w:val="12"/>
  </w:num>
  <w:num w:numId="6">
    <w:abstractNumId w:val="23"/>
  </w:num>
  <w:num w:numId="7">
    <w:abstractNumId w:val="1"/>
  </w:num>
  <w:num w:numId="8">
    <w:abstractNumId w:val="24"/>
  </w:num>
  <w:num w:numId="9">
    <w:abstractNumId w:val="0"/>
  </w:num>
  <w:num w:numId="10">
    <w:abstractNumId w:val="2"/>
  </w:num>
  <w:num w:numId="11">
    <w:abstractNumId w:val="5"/>
  </w:num>
  <w:num w:numId="12">
    <w:abstractNumId w:val="4"/>
  </w:num>
  <w:num w:numId="13">
    <w:abstractNumId w:val="3"/>
  </w:num>
  <w:num w:numId="14">
    <w:abstractNumId w:val="9"/>
  </w:num>
  <w:num w:numId="15">
    <w:abstractNumId w:val="6"/>
  </w:num>
  <w:num w:numId="16">
    <w:abstractNumId w:val="15"/>
  </w:num>
  <w:num w:numId="17">
    <w:abstractNumId w:val="22"/>
  </w:num>
  <w:num w:numId="18">
    <w:abstractNumId w:val="13"/>
  </w:num>
  <w:num w:numId="19">
    <w:abstractNumId w:val="20"/>
  </w:num>
  <w:num w:numId="20">
    <w:abstractNumId w:val="7"/>
  </w:num>
  <w:num w:numId="21">
    <w:abstractNumId w:val="21"/>
  </w:num>
  <w:num w:numId="22">
    <w:abstractNumId w:val="14"/>
  </w:num>
  <w:num w:numId="23">
    <w:abstractNumId w:val="11"/>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06E"/>
    <w:rsid w:val="000238EF"/>
    <w:rsid w:val="0005560A"/>
    <w:rsid w:val="00072013"/>
    <w:rsid w:val="000C4DCD"/>
    <w:rsid w:val="000D0968"/>
    <w:rsid w:val="000E19C0"/>
    <w:rsid w:val="00104523"/>
    <w:rsid w:val="00121FCB"/>
    <w:rsid w:val="00161962"/>
    <w:rsid w:val="0016539B"/>
    <w:rsid w:val="0018141C"/>
    <w:rsid w:val="001A321F"/>
    <w:rsid w:val="00200231"/>
    <w:rsid w:val="00223B0D"/>
    <w:rsid w:val="00255F1D"/>
    <w:rsid w:val="00264DF3"/>
    <w:rsid w:val="0027494E"/>
    <w:rsid w:val="002E7437"/>
    <w:rsid w:val="00304638"/>
    <w:rsid w:val="00344E0B"/>
    <w:rsid w:val="00353474"/>
    <w:rsid w:val="003576CC"/>
    <w:rsid w:val="00391264"/>
    <w:rsid w:val="00392B23"/>
    <w:rsid w:val="00393421"/>
    <w:rsid w:val="003A652B"/>
    <w:rsid w:val="003B0E63"/>
    <w:rsid w:val="003B1951"/>
    <w:rsid w:val="003B47C7"/>
    <w:rsid w:val="003D2F88"/>
    <w:rsid w:val="00444147"/>
    <w:rsid w:val="00457D96"/>
    <w:rsid w:val="004659EB"/>
    <w:rsid w:val="00483140"/>
    <w:rsid w:val="004D0060"/>
    <w:rsid w:val="004E0435"/>
    <w:rsid w:val="004E4A20"/>
    <w:rsid w:val="0052558D"/>
    <w:rsid w:val="00596AA3"/>
    <w:rsid w:val="005B4E2B"/>
    <w:rsid w:val="005D3217"/>
    <w:rsid w:val="005D4E73"/>
    <w:rsid w:val="005E1243"/>
    <w:rsid w:val="00636B81"/>
    <w:rsid w:val="00655C7D"/>
    <w:rsid w:val="00657C77"/>
    <w:rsid w:val="00660B2F"/>
    <w:rsid w:val="00675551"/>
    <w:rsid w:val="006C16D5"/>
    <w:rsid w:val="006E0CE4"/>
    <w:rsid w:val="006E26C0"/>
    <w:rsid w:val="006F2B89"/>
    <w:rsid w:val="00727BB6"/>
    <w:rsid w:val="00796CCE"/>
    <w:rsid w:val="007A79ED"/>
    <w:rsid w:val="007E33D0"/>
    <w:rsid w:val="007E50C1"/>
    <w:rsid w:val="007E5A79"/>
    <w:rsid w:val="007F35DF"/>
    <w:rsid w:val="00823890"/>
    <w:rsid w:val="0085876F"/>
    <w:rsid w:val="0088267B"/>
    <w:rsid w:val="008F7898"/>
    <w:rsid w:val="009031B4"/>
    <w:rsid w:val="0093411C"/>
    <w:rsid w:val="00956B8F"/>
    <w:rsid w:val="00962689"/>
    <w:rsid w:val="0098623B"/>
    <w:rsid w:val="009A3D52"/>
    <w:rsid w:val="009B6E05"/>
    <w:rsid w:val="009E7AA2"/>
    <w:rsid w:val="00A01680"/>
    <w:rsid w:val="00A26C49"/>
    <w:rsid w:val="00A5317E"/>
    <w:rsid w:val="00A677E4"/>
    <w:rsid w:val="00AA6B4B"/>
    <w:rsid w:val="00AB24F8"/>
    <w:rsid w:val="00AD2C15"/>
    <w:rsid w:val="00AE4121"/>
    <w:rsid w:val="00B14A5E"/>
    <w:rsid w:val="00B17B1D"/>
    <w:rsid w:val="00B188D2"/>
    <w:rsid w:val="00B36E06"/>
    <w:rsid w:val="00B85769"/>
    <w:rsid w:val="00B955B9"/>
    <w:rsid w:val="00BA4783"/>
    <w:rsid w:val="00BA4812"/>
    <w:rsid w:val="00BC3BA3"/>
    <w:rsid w:val="00C144E8"/>
    <w:rsid w:val="00C53F32"/>
    <w:rsid w:val="00C81F17"/>
    <w:rsid w:val="00C866B3"/>
    <w:rsid w:val="00CB591F"/>
    <w:rsid w:val="00CC4027"/>
    <w:rsid w:val="00D17521"/>
    <w:rsid w:val="00D42D1B"/>
    <w:rsid w:val="00D64B8D"/>
    <w:rsid w:val="00D71C52"/>
    <w:rsid w:val="00D73C45"/>
    <w:rsid w:val="00D82419"/>
    <w:rsid w:val="00D85647"/>
    <w:rsid w:val="00DB0767"/>
    <w:rsid w:val="00DB77BE"/>
    <w:rsid w:val="00DE6EAE"/>
    <w:rsid w:val="00DF00F8"/>
    <w:rsid w:val="00DF2E70"/>
    <w:rsid w:val="00DF5197"/>
    <w:rsid w:val="00E07360"/>
    <w:rsid w:val="00E31075"/>
    <w:rsid w:val="00E825AE"/>
    <w:rsid w:val="00E87A60"/>
    <w:rsid w:val="00EA284C"/>
    <w:rsid w:val="00EB47F8"/>
    <w:rsid w:val="00ED606E"/>
    <w:rsid w:val="00EE031A"/>
    <w:rsid w:val="00EE08BC"/>
    <w:rsid w:val="00F059FC"/>
    <w:rsid w:val="00F1137C"/>
    <w:rsid w:val="00F17170"/>
    <w:rsid w:val="00F21B4E"/>
    <w:rsid w:val="00F23628"/>
    <w:rsid w:val="00FA28E5"/>
    <w:rsid w:val="00FA295C"/>
    <w:rsid w:val="00FA32F1"/>
    <w:rsid w:val="00FC20B6"/>
    <w:rsid w:val="00FF64EC"/>
    <w:rsid w:val="010BE978"/>
    <w:rsid w:val="0131C8A3"/>
    <w:rsid w:val="01737543"/>
    <w:rsid w:val="01916B0D"/>
    <w:rsid w:val="01C5F646"/>
    <w:rsid w:val="0255E734"/>
    <w:rsid w:val="0269BD3B"/>
    <w:rsid w:val="027C411D"/>
    <w:rsid w:val="02A7AB08"/>
    <w:rsid w:val="02D3496D"/>
    <w:rsid w:val="03C70C60"/>
    <w:rsid w:val="03DAE69D"/>
    <w:rsid w:val="03EEE69C"/>
    <w:rsid w:val="043D8A5A"/>
    <w:rsid w:val="0451FD1B"/>
    <w:rsid w:val="04793DC7"/>
    <w:rsid w:val="048B9986"/>
    <w:rsid w:val="04C15CAD"/>
    <w:rsid w:val="0518952A"/>
    <w:rsid w:val="0573B486"/>
    <w:rsid w:val="057A74F0"/>
    <w:rsid w:val="058AB6FD"/>
    <w:rsid w:val="05C6323E"/>
    <w:rsid w:val="05D95ABB"/>
    <w:rsid w:val="065D2D0E"/>
    <w:rsid w:val="06CF52BB"/>
    <w:rsid w:val="070DECD4"/>
    <w:rsid w:val="071A1C0F"/>
    <w:rsid w:val="072AEF2E"/>
    <w:rsid w:val="0771D218"/>
    <w:rsid w:val="07861208"/>
    <w:rsid w:val="07866BAB"/>
    <w:rsid w:val="07A1FFCB"/>
    <w:rsid w:val="07D00932"/>
    <w:rsid w:val="08980706"/>
    <w:rsid w:val="08A92A39"/>
    <w:rsid w:val="08C4EF6C"/>
    <w:rsid w:val="0923EE32"/>
    <w:rsid w:val="09428AF1"/>
    <w:rsid w:val="0954FBFB"/>
    <w:rsid w:val="095CBF1D"/>
    <w:rsid w:val="099B5426"/>
    <w:rsid w:val="09B0610D"/>
    <w:rsid w:val="09C4A256"/>
    <w:rsid w:val="09E1CCED"/>
    <w:rsid w:val="0A277D1A"/>
    <w:rsid w:val="0A69AD39"/>
    <w:rsid w:val="0A96A46C"/>
    <w:rsid w:val="0A9C0141"/>
    <w:rsid w:val="0AB1F2A4"/>
    <w:rsid w:val="0ACB92C0"/>
    <w:rsid w:val="0ADA25AC"/>
    <w:rsid w:val="0B1D2937"/>
    <w:rsid w:val="0B8D9BAD"/>
    <w:rsid w:val="0C0C619F"/>
    <w:rsid w:val="0C59832B"/>
    <w:rsid w:val="0C641971"/>
    <w:rsid w:val="0C66EB62"/>
    <w:rsid w:val="0C945FDF"/>
    <w:rsid w:val="0CD5EAA7"/>
    <w:rsid w:val="0CEB241E"/>
    <w:rsid w:val="0D5A51F9"/>
    <w:rsid w:val="0DD14423"/>
    <w:rsid w:val="0E0E94F3"/>
    <w:rsid w:val="0E1CBEC7"/>
    <w:rsid w:val="0E485B83"/>
    <w:rsid w:val="0E4A1CBD"/>
    <w:rsid w:val="0E56C6D4"/>
    <w:rsid w:val="0E7E01D6"/>
    <w:rsid w:val="0E8C4028"/>
    <w:rsid w:val="0EA56885"/>
    <w:rsid w:val="0EB2B6B7"/>
    <w:rsid w:val="0EF10923"/>
    <w:rsid w:val="0F251273"/>
    <w:rsid w:val="0F29AA17"/>
    <w:rsid w:val="0F8563C7"/>
    <w:rsid w:val="0F9BBA33"/>
    <w:rsid w:val="108C9EF4"/>
    <w:rsid w:val="1094ABFC"/>
    <w:rsid w:val="10B1E462"/>
    <w:rsid w:val="11AA2A20"/>
    <w:rsid w:val="11B2E37C"/>
    <w:rsid w:val="11B99E8F"/>
    <w:rsid w:val="12BC5960"/>
    <w:rsid w:val="12E02C13"/>
    <w:rsid w:val="135B2721"/>
    <w:rsid w:val="13701B4A"/>
    <w:rsid w:val="13986968"/>
    <w:rsid w:val="1401C2E2"/>
    <w:rsid w:val="14571221"/>
    <w:rsid w:val="14E71D1F"/>
    <w:rsid w:val="14EC4E93"/>
    <w:rsid w:val="14F8CD59"/>
    <w:rsid w:val="150A67AE"/>
    <w:rsid w:val="152EB385"/>
    <w:rsid w:val="153439C9"/>
    <w:rsid w:val="15350750"/>
    <w:rsid w:val="15FADEBF"/>
    <w:rsid w:val="1628FB7F"/>
    <w:rsid w:val="16976EB3"/>
    <w:rsid w:val="16A4A2E3"/>
    <w:rsid w:val="16D276DB"/>
    <w:rsid w:val="173D0AA6"/>
    <w:rsid w:val="1789A302"/>
    <w:rsid w:val="17933C6C"/>
    <w:rsid w:val="17B39D36"/>
    <w:rsid w:val="17C3CD1D"/>
    <w:rsid w:val="18004347"/>
    <w:rsid w:val="180DD524"/>
    <w:rsid w:val="184070A0"/>
    <w:rsid w:val="18407344"/>
    <w:rsid w:val="185AC451"/>
    <w:rsid w:val="18665447"/>
    <w:rsid w:val="188AD6E8"/>
    <w:rsid w:val="1946708F"/>
    <w:rsid w:val="194D3D19"/>
    <w:rsid w:val="1999E899"/>
    <w:rsid w:val="19A0DE29"/>
    <w:rsid w:val="19B5E718"/>
    <w:rsid w:val="19E0DDEA"/>
    <w:rsid w:val="1A6E471C"/>
    <w:rsid w:val="1A7F0A69"/>
    <w:rsid w:val="1AAD2B48"/>
    <w:rsid w:val="1AF41C0A"/>
    <w:rsid w:val="1AFC6CA2"/>
    <w:rsid w:val="1B6AC330"/>
    <w:rsid w:val="1B6F56AB"/>
    <w:rsid w:val="1B86D07D"/>
    <w:rsid w:val="1BD22FCD"/>
    <w:rsid w:val="1BE6FCCA"/>
    <w:rsid w:val="1C006BA9"/>
    <w:rsid w:val="1C215C91"/>
    <w:rsid w:val="1C66CCBD"/>
    <w:rsid w:val="1C7F977C"/>
    <w:rsid w:val="1CD0B870"/>
    <w:rsid w:val="1CFC5136"/>
    <w:rsid w:val="1D13E1C3"/>
    <w:rsid w:val="1D22A0DE"/>
    <w:rsid w:val="1D3F4BAE"/>
    <w:rsid w:val="1D87288B"/>
    <w:rsid w:val="1D8AD523"/>
    <w:rsid w:val="1E15349E"/>
    <w:rsid w:val="1E691CCF"/>
    <w:rsid w:val="1E6D59BC"/>
    <w:rsid w:val="1ED1D1FC"/>
    <w:rsid w:val="1EDD88C0"/>
    <w:rsid w:val="1F2559DA"/>
    <w:rsid w:val="1F7A4A35"/>
    <w:rsid w:val="1F8B25D4"/>
    <w:rsid w:val="1F8E395F"/>
    <w:rsid w:val="1FA5814F"/>
    <w:rsid w:val="1FB104FF"/>
    <w:rsid w:val="203E3453"/>
    <w:rsid w:val="2051B0D4"/>
    <w:rsid w:val="2060FFF3"/>
    <w:rsid w:val="20D4B929"/>
    <w:rsid w:val="20FB540A"/>
    <w:rsid w:val="2129551E"/>
    <w:rsid w:val="21518706"/>
    <w:rsid w:val="22DC83DB"/>
    <w:rsid w:val="235CC95E"/>
    <w:rsid w:val="235ECA9A"/>
    <w:rsid w:val="240A812C"/>
    <w:rsid w:val="24230461"/>
    <w:rsid w:val="2477408E"/>
    <w:rsid w:val="248927C8"/>
    <w:rsid w:val="24CA9C44"/>
    <w:rsid w:val="252A9B02"/>
    <w:rsid w:val="255259EA"/>
    <w:rsid w:val="2599586B"/>
    <w:rsid w:val="25D4F00C"/>
    <w:rsid w:val="25E1FDB1"/>
    <w:rsid w:val="25FA6758"/>
    <w:rsid w:val="2624F829"/>
    <w:rsid w:val="26BE4B5B"/>
    <w:rsid w:val="26E4B882"/>
    <w:rsid w:val="27955E9F"/>
    <w:rsid w:val="27B14895"/>
    <w:rsid w:val="27D54494"/>
    <w:rsid w:val="27DE4705"/>
    <w:rsid w:val="2846F163"/>
    <w:rsid w:val="28846597"/>
    <w:rsid w:val="289776DD"/>
    <w:rsid w:val="28B58A40"/>
    <w:rsid w:val="28F88746"/>
    <w:rsid w:val="29E2C1C4"/>
    <w:rsid w:val="29F103C2"/>
    <w:rsid w:val="2A25CB0D"/>
    <w:rsid w:val="2A6A82FE"/>
    <w:rsid w:val="2A9D6791"/>
    <w:rsid w:val="2AAB4CA2"/>
    <w:rsid w:val="2AE62A62"/>
    <w:rsid w:val="2BB4D9BA"/>
    <w:rsid w:val="2BCF179F"/>
    <w:rsid w:val="2C01989A"/>
    <w:rsid w:val="2C2AE617"/>
    <w:rsid w:val="2C666B83"/>
    <w:rsid w:val="2C7267E5"/>
    <w:rsid w:val="2CAE0ADB"/>
    <w:rsid w:val="2CDD8839"/>
    <w:rsid w:val="2CDFBC1E"/>
    <w:rsid w:val="2D444372"/>
    <w:rsid w:val="2D5D5CFE"/>
    <w:rsid w:val="2D738099"/>
    <w:rsid w:val="2EB021F4"/>
    <w:rsid w:val="2EE00502"/>
    <w:rsid w:val="2EF3A71B"/>
    <w:rsid w:val="2EF3A9CE"/>
    <w:rsid w:val="2F139D1A"/>
    <w:rsid w:val="2F60432B"/>
    <w:rsid w:val="2F62A3EA"/>
    <w:rsid w:val="2F932252"/>
    <w:rsid w:val="2F9E968A"/>
    <w:rsid w:val="30273B6D"/>
    <w:rsid w:val="30506E1C"/>
    <w:rsid w:val="30550746"/>
    <w:rsid w:val="307BDF08"/>
    <w:rsid w:val="3124B058"/>
    <w:rsid w:val="3140DDCE"/>
    <w:rsid w:val="316AE6B0"/>
    <w:rsid w:val="317F5DBB"/>
    <w:rsid w:val="31C30BCE"/>
    <w:rsid w:val="31C88C60"/>
    <w:rsid w:val="31E73441"/>
    <w:rsid w:val="3230DCF2"/>
    <w:rsid w:val="326E2DC2"/>
    <w:rsid w:val="32AF7437"/>
    <w:rsid w:val="32C080B9"/>
    <w:rsid w:val="32F8669A"/>
    <w:rsid w:val="3347C6F3"/>
    <w:rsid w:val="33815C75"/>
    <w:rsid w:val="3398204D"/>
    <w:rsid w:val="33D8E2AA"/>
    <w:rsid w:val="3411C399"/>
    <w:rsid w:val="344AB6C5"/>
    <w:rsid w:val="34564027"/>
    <w:rsid w:val="34787E90"/>
    <w:rsid w:val="3516AB0F"/>
    <w:rsid w:val="354293A3"/>
    <w:rsid w:val="35CD15D7"/>
    <w:rsid w:val="361624AD"/>
    <w:rsid w:val="36A81C6F"/>
    <w:rsid w:val="3732F3C4"/>
    <w:rsid w:val="378DE0E9"/>
    <w:rsid w:val="37E1E231"/>
    <w:rsid w:val="381E527C"/>
    <w:rsid w:val="38CEC425"/>
    <w:rsid w:val="3956A434"/>
    <w:rsid w:val="39A17135"/>
    <w:rsid w:val="39BCFA80"/>
    <w:rsid w:val="3A3EAEF8"/>
    <w:rsid w:val="3A6A9486"/>
    <w:rsid w:val="3A7FA805"/>
    <w:rsid w:val="3A834D43"/>
    <w:rsid w:val="3A8D33C4"/>
    <w:rsid w:val="3AC581AB"/>
    <w:rsid w:val="3AD5D4F9"/>
    <w:rsid w:val="3AEECA85"/>
    <w:rsid w:val="3BD94568"/>
    <w:rsid w:val="3BE2A644"/>
    <w:rsid w:val="3C0664E7"/>
    <w:rsid w:val="3C0FDB0B"/>
    <w:rsid w:val="3C15DB56"/>
    <w:rsid w:val="3C272F9A"/>
    <w:rsid w:val="3C71A55A"/>
    <w:rsid w:val="3CE4ED0B"/>
    <w:rsid w:val="3D509F4A"/>
    <w:rsid w:val="3D720B56"/>
    <w:rsid w:val="3DAE308A"/>
    <w:rsid w:val="3DC2FFFB"/>
    <w:rsid w:val="3E1D8AAD"/>
    <w:rsid w:val="3E22B173"/>
    <w:rsid w:val="3E24BDAB"/>
    <w:rsid w:val="3E6CE014"/>
    <w:rsid w:val="3E8113EE"/>
    <w:rsid w:val="3EAD9D59"/>
    <w:rsid w:val="3FB665B6"/>
    <w:rsid w:val="3FB95B0E"/>
    <w:rsid w:val="3FBFEFD6"/>
    <w:rsid w:val="3FCB428D"/>
    <w:rsid w:val="3FE9EBBF"/>
    <w:rsid w:val="401A78E9"/>
    <w:rsid w:val="401CE44F"/>
    <w:rsid w:val="40D74FBF"/>
    <w:rsid w:val="410FDA71"/>
    <w:rsid w:val="41312753"/>
    <w:rsid w:val="413203B8"/>
    <w:rsid w:val="415C5E6D"/>
    <w:rsid w:val="42462A46"/>
    <w:rsid w:val="42BBCF58"/>
    <w:rsid w:val="42F62296"/>
    <w:rsid w:val="4411B80C"/>
    <w:rsid w:val="4468C815"/>
    <w:rsid w:val="448058ED"/>
    <w:rsid w:val="44C86CC4"/>
    <w:rsid w:val="44D384A7"/>
    <w:rsid w:val="44E8FB47"/>
    <w:rsid w:val="45592D6B"/>
    <w:rsid w:val="460F9363"/>
    <w:rsid w:val="46207526"/>
    <w:rsid w:val="46327D89"/>
    <w:rsid w:val="46FEAD9F"/>
    <w:rsid w:val="47A068D7"/>
    <w:rsid w:val="481D3498"/>
    <w:rsid w:val="482523D3"/>
    <w:rsid w:val="49E68BEF"/>
    <w:rsid w:val="49F868A1"/>
    <w:rsid w:val="4A201875"/>
    <w:rsid w:val="4A2DD52A"/>
    <w:rsid w:val="4A70C86B"/>
    <w:rsid w:val="4A8184AC"/>
    <w:rsid w:val="4AA1523A"/>
    <w:rsid w:val="4AA64B2E"/>
    <w:rsid w:val="4AE80EC2"/>
    <w:rsid w:val="4AF3E649"/>
    <w:rsid w:val="4B150B99"/>
    <w:rsid w:val="4B1C5F6B"/>
    <w:rsid w:val="4B235453"/>
    <w:rsid w:val="4B583CCB"/>
    <w:rsid w:val="4BA18A8F"/>
    <w:rsid w:val="4C5B3F70"/>
    <w:rsid w:val="4C83DF23"/>
    <w:rsid w:val="4C8FB6AA"/>
    <w:rsid w:val="4CEF477F"/>
    <w:rsid w:val="4CF72347"/>
    <w:rsid w:val="4E1B33BD"/>
    <w:rsid w:val="4E2FC0F3"/>
    <w:rsid w:val="4E38D53D"/>
    <w:rsid w:val="4E3B508A"/>
    <w:rsid w:val="4E5B09AB"/>
    <w:rsid w:val="4FD4A59E"/>
    <w:rsid w:val="4FE6F5FD"/>
    <w:rsid w:val="50339B74"/>
    <w:rsid w:val="507A3304"/>
    <w:rsid w:val="5114F53A"/>
    <w:rsid w:val="52204784"/>
    <w:rsid w:val="524ECA69"/>
    <w:rsid w:val="52B2F0AA"/>
    <w:rsid w:val="52E281D5"/>
    <w:rsid w:val="52E2CF52"/>
    <w:rsid w:val="52FEF82E"/>
    <w:rsid w:val="535E93EB"/>
    <w:rsid w:val="536B3C36"/>
    <w:rsid w:val="53BC3401"/>
    <w:rsid w:val="544EC10B"/>
    <w:rsid w:val="5451C383"/>
    <w:rsid w:val="5466487F"/>
    <w:rsid w:val="557D8A91"/>
    <w:rsid w:val="55866B2B"/>
    <w:rsid w:val="559096AF"/>
    <w:rsid w:val="55E113D2"/>
    <w:rsid w:val="56108B9A"/>
    <w:rsid w:val="56279161"/>
    <w:rsid w:val="565CD259"/>
    <w:rsid w:val="569D2C8F"/>
    <w:rsid w:val="577D49D5"/>
    <w:rsid w:val="5785BDFE"/>
    <w:rsid w:val="57AEFE99"/>
    <w:rsid w:val="5809ABFC"/>
    <w:rsid w:val="582D7EAF"/>
    <w:rsid w:val="58508FDC"/>
    <w:rsid w:val="5865EDEC"/>
    <w:rsid w:val="58691F42"/>
    <w:rsid w:val="58AD03E7"/>
    <w:rsid w:val="58C53394"/>
    <w:rsid w:val="58E035C0"/>
    <w:rsid w:val="58FF8D32"/>
    <w:rsid w:val="5905D7D7"/>
    <w:rsid w:val="5920071F"/>
    <w:rsid w:val="59488B39"/>
    <w:rsid w:val="5A1E6E1E"/>
    <w:rsid w:val="5A48D448"/>
    <w:rsid w:val="5A57907C"/>
    <w:rsid w:val="5A74D982"/>
    <w:rsid w:val="5AB4EA97"/>
    <w:rsid w:val="5AC917F2"/>
    <w:rsid w:val="5AE69F5B"/>
    <w:rsid w:val="5B204FC0"/>
    <w:rsid w:val="5B348FB0"/>
    <w:rsid w:val="5B3814D8"/>
    <w:rsid w:val="5B59B9D6"/>
    <w:rsid w:val="5B651F71"/>
    <w:rsid w:val="5B764E1B"/>
    <w:rsid w:val="5B835BA7"/>
    <w:rsid w:val="5BE005BC"/>
    <w:rsid w:val="5C0AF1C9"/>
    <w:rsid w:val="5C0F9DE7"/>
    <w:rsid w:val="5C4D6FB5"/>
    <w:rsid w:val="5C70D973"/>
    <w:rsid w:val="5CB49246"/>
    <w:rsid w:val="5CCA7179"/>
    <w:rsid w:val="5CCD668B"/>
    <w:rsid w:val="5D0B3CC5"/>
    <w:rsid w:val="5DDD8D06"/>
    <w:rsid w:val="5DFBFD40"/>
    <w:rsid w:val="5E2B6C9F"/>
    <w:rsid w:val="5F0068BB"/>
    <w:rsid w:val="5F027873"/>
    <w:rsid w:val="5F5953A6"/>
    <w:rsid w:val="5F611D55"/>
    <w:rsid w:val="5F67C81F"/>
    <w:rsid w:val="611459B7"/>
    <w:rsid w:val="611E4BF8"/>
    <w:rsid w:val="61C08AD5"/>
    <w:rsid w:val="62523EEA"/>
    <w:rsid w:val="62BCC479"/>
    <w:rsid w:val="63133B8B"/>
    <w:rsid w:val="63C9D86A"/>
    <w:rsid w:val="63D9EFAD"/>
    <w:rsid w:val="63DF6340"/>
    <w:rsid w:val="649FCBA4"/>
    <w:rsid w:val="64CDEF07"/>
    <w:rsid w:val="64D5BEEC"/>
    <w:rsid w:val="64D8699F"/>
    <w:rsid w:val="64E8AB95"/>
    <w:rsid w:val="65134B1F"/>
    <w:rsid w:val="652E79ED"/>
    <w:rsid w:val="65A92469"/>
    <w:rsid w:val="65C8952A"/>
    <w:rsid w:val="65DF05D4"/>
    <w:rsid w:val="661AB9F3"/>
    <w:rsid w:val="6681379A"/>
    <w:rsid w:val="66A4602F"/>
    <w:rsid w:val="66CA4A4E"/>
    <w:rsid w:val="670E2EF3"/>
    <w:rsid w:val="67A77595"/>
    <w:rsid w:val="680BEF7B"/>
    <w:rsid w:val="68100A61"/>
    <w:rsid w:val="68CD99BA"/>
    <w:rsid w:val="68CEED01"/>
    <w:rsid w:val="68D962C6"/>
    <w:rsid w:val="692C05FD"/>
    <w:rsid w:val="69F0A184"/>
    <w:rsid w:val="69FD97B0"/>
    <w:rsid w:val="6A0D7660"/>
    <w:rsid w:val="6A316B28"/>
    <w:rsid w:val="6A6C17AC"/>
    <w:rsid w:val="6AF5E74F"/>
    <w:rsid w:val="6BA9A506"/>
    <w:rsid w:val="6BB9C2FB"/>
    <w:rsid w:val="6C8E2BDB"/>
    <w:rsid w:val="6D2F04F9"/>
    <w:rsid w:val="6D41FE7C"/>
    <w:rsid w:val="6D62219A"/>
    <w:rsid w:val="6D6C0A45"/>
    <w:rsid w:val="6DBA7EB2"/>
    <w:rsid w:val="6DE8B350"/>
    <w:rsid w:val="6E046D8C"/>
    <w:rsid w:val="6EB2D7D0"/>
    <w:rsid w:val="6EBA8430"/>
    <w:rsid w:val="6F17C889"/>
    <w:rsid w:val="6F3EB652"/>
    <w:rsid w:val="6F428B47"/>
    <w:rsid w:val="6F548DE5"/>
    <w:rsid w:val="6F63026B"/>
    <w:rsid w:val="6F9EAC04"/>
    <w:rsid w:val="6FCB478F"/>
    <w:rsid w:val="7098FD8A"/>
    <w:rsid w:val="70B3871F"/>
    <w:rsid w:val="70E62770"/>
    <w:rsid w:val="716A7C59"/>
    <w:rsid w:val="71C1E284"/>
    <w:rsid w:val="71DC0730"/>
    <w:rsid w:val="7212B6F2"/>
    <w:rsid w:val="7214EA7B"/>
    <w:rsid w:val="724AE5C3"/>
    <w:rsid w:val="737E5B6D"/>
    <w:rsid w:val="73D0D54B"/>
    <w:rsid w:val="73FB727A"/>
    <w:rsid w:val="74C4983E"/>
    <w:rsid w:val="74D259CD"/>
    <w:rsid w:val="75221954"/>
    <w:rsid w:val="75E82EBA"/>
    <w:rsid w:val="75ED59BB"/>
    <w:rsid w:val="761A43BB"/>
    <w:rsid w:val="76661C92"/>
    <w:rsid w:val="76CCBDA9"/>
    <w:rsid w:val="7764F860"/>
    <w:rsid w:val="7774DE0C"/>
    <w:rsid w:val="77E17274"/>
    <w:rsid w:val="781089EF"/>
    <w:rsid w:val="7875AD5E"/>
    <w:rsid w:val="78B2F364"/>
    <w:rsid w:val="7900D792"/>
    <w:rsid w:val="794A174D"/>
    <w:rsid w:val="7961E702"/>
    <w:rsid w:val="7A04FC42"/>
    <w:rsid w:val="7A3D9721"/>
    <w:rsid w:val="7A67E0A8"/>
    <w:rsid w:val="7AC1C943"/>
    <w:rsid w:val="7ADCA51F"/>
    <w:rsid w:val="7B457417"/>
    <w:rsid w:val="7B95E54A"/>
    <w:rsid w:val="7C0D023C"/>
    <w:rsid w:val="7C2DEEEB"/>
    <w:rsid w:val="7C6407E8"/>
    <w:rsid w:val="7C78AF0F"/>
    <w:rsid w:val="7C81B80F"/>
    <w:rsid w:val="7C9FCE13"/>
    <w:rsid w:val="7CA1C2FD"/>
    <w:rsid w:val="7CFB9BC5"/>
    <w:rsid w:val="7D26ABA1"/>
    <w:rsid w:val="7D579D22"/>
    <w:rsid w:val="7D7A3E89"/>
    <w:rsid w:val="7DC8E87F"/>
    <w:rsid w:val="7DCEB3A0"/>
    <w:rsid w:val="7E3E5407"/>
    <w:rsid w:val="7E53C355"/>
    <w:rsid w:val="7E59CA4A"/>
    <w:rsid w:val="7EC34B31"/>
    <w:rsid w:val="7EEE808E"/>
    <w:rsid w:val="7F1C034B"/>
    <w:rsid w:val="7F6DC51B"/>
    <w:rsid w:val="7FC74566"/>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A56763"/>
  <w15:docId w15:val="{F0C0CB9D-527A-4D20-A353-C978CD7A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360809"/>
  </w:style>
  <w:style w:type="character" w:customStyle="1" w:styleId="FooterChar">
    <w:name w:val="Footer Char"/>
    <w:basedOn w:val="DefaultParagraphFont"/>
    <w:link w:val="Footer"/>
    <w:uiPriority w:val="99"/>
    <w:qFormat/>
    <w:rsid w:val="00360809"/>
  </w:style>
  <w:style w:type="character" w:customStyle="1" w:styleId="BalloonTextChar">
    <w:name w:val="Balloon Text Char"/>
    <w:basedOn w:val="DefaultParagraphFont"/>
    <w:link w:val="BalloonText"/>
    <w:uiPriority w:val="99"/>
    <w:semiHidden/>
    <w:qFormat/>
    <w:rsid w:val="00FC0395"/>
    <w:rPr>
      <w:rFonts w:ascii="Tahoma" w:hAnsi="Tahoma" w:cs="Tahoma"/>
      <w:sz w:val="16"/>
      <w:szCs w:val="16"/>
    </w:rPr>
  </w:style>
  <w:style w:type="character" w:customStyle="1" w:styleId="BodyTextIndent2Char">
    <w:name w:val="Body Text Indent 2 Char"/>
    <w:basedOn w:val="DefaultParagraphFont"/>
    <w:link w:val="BodyTextIndent2"/>
    <w:uiPriority w:val="99"/>
    <w:qFormat/>
    <w:rsid w:val="00E86956"/>
  </w:style>
  <w:style w:type="character" w:customStyle="1" w:styleId="InternetLink">
    <w:name w:val="Internet Link"/>
    <w:basedOn w:val="DefaultParagraphFont"/>
    <w:uiPriority w:val="99"/>
    <w:unhideWhenUsed/>
    <w:rsid w:val="00CC1FD2"/>
    <w:rPr>
      <w:color w:val="0000FF" w:themeColor="hyperlink"/>
      <w:u w:val="single"/>
    </w:rPr>
  </w:style>
  <w:style w:type="character" w:customStyle="1" w:styleId="ListLabel1">
    <w:name w:val="ListLabel 1"/>
    <w:qFormat/>
    <w:rPr>
      <w:rFonts w:eastAsia="Calibri"/>
      <w:spacing w:val="0"/>
      <w:w w:val="100"/>
      <w:sz w:val="22"/>
      <w:szCs w:val="22"/>
    </w:rPr>
  </w:style>
  <w:style w:type="character" w:customStyle="1" w:styleId="ListLabel2">
    <w:name w:val="ListLabel 2"/>
    <w:qFormat/>
    <w:rPr>
      <w:rFonts w:eastAsia="Calibri"/>
      <w:spacing w:val="0"/>
      <w:w w:val="100"/>
      <w:sz w:val="22"/>
      <w:szCs w:val="22"/>
    </w:rPr>
  </w:style>
  <w:style w:type="character" w:customStyle="1" w:styleId="ListLabel3">
    <w:name w:val="ListLabel 3"/>
    <w:qFormat/>
    <w:rPr>
      <w:rFonts w:eastAsia="Calibri"/>
      <w:spacing w:val="0"/>
      <w:w w:val="100"/>
      <w:sz w:val="22"/>
      <w:szCs w:val="22"/>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ascii="Arial" w:hAnsi="Arial"/>
      <w:b w:val="0"/>
    </w:rPr>
  </w:style>
  <w:style w:type="paragraph" w:customStyle="1" w:styleId="Heading">
    <w:name w:val="Heading"/>
    <w:basedOn w:val="Normal"/>
    <w:next w:val="BodyText"/>
    <w:qFormat/>
    <w:pPr>
      <w:keepNext/>
      <w:spacing w:before="240" w:after="120"/>
    </w:pPr>
    <w:rPr>
      <w:rFonts w:ascii="Liberation Sans" w:eastAsia="Noto Sans CJK SC Regular" w:hAnsi="Liberation Sans" w:cs="FreeSans"/>
      <w:sz w:val="28"/>
      <w:szCs w:val="28"/>
    </w:rPr>
  </w:style>
  <w:style w:type="paragraph" w:styleId="BodyText">
    <w:name w:val="Body Text"/>
    <w:basedOn w:val="Normal"/>
    <w:uiPriority w:val="1"/>
    <w:qFormat/>
    <w:pPr>
      <w:ind w:left="462" w:hanging="360"/>
    </w:pPr>
    <w:rPr>
      <w:rFonts w:ascii="Calibri" w:eastAsia="Calibri" w:hAnsi="Calibri"/>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qFormat/>
    <w:pPr>
      <w:suppressLineNumbers/>
    </w:pPr>
    <w:rPr>
      <w:rFonts w:cs="FreeSan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60809"/>
    <w:pPr>
      <w:tabs>
        <w:tab w:val="center" w:pos="4513"/>
        <w:tab w:val="right" w:pos="9026"/>
      </w:tabs>
    </w:pPr>
  </w:style>
  <w:style w:type="paragraph" w:styleId="Footer">
    <w:name w:val="footer"/>
    <w:basedOn w:val="Normal"/>
    <w:link w:val="FooterChar"/>
    <w:uiPriority w:val="99"/>
    <w:unhideWhenUsed/>
    <w:rsid w:val="00360809"/>
    <w:pPr>
      <w:tabs>
        <w:tab w:val="center" w:pos="4513"/>
        <w:tab w:val="right" w:pos="9026"/>
      </w:tabs>
    </w:pPr>
  </w:style>
  <w:style w:type="paragraph" w:styleId="BalloonText">
    <w:name w:val="Balloon Text"/>
    <w:basedOn w:val="Normal"/>
    <w:link w:val="BalloonTextChar"/>
    <w:uiPriority w:val="99"/>
    <w:semiHidden/>
    <w:unhideWhenUsed/>
    <w:qFormat/>
    <w:rsid w:val="00FC0395"/>
    <w:rPr>
      <w:rFonts w:ascii="Tahoma" w:hAnsi="Tahoma" w:cs="Tahoma"/>
      <w:sz w:val="16"/>
      <w:szCs w:val="16"/>
    </w:rPr>
  </w:style>
  <w:style w:type="paragraph" w:styleId="BodyTextIndent2">
    <w:name w:val="Body Text Indent 2"/>
    <w:basedOn w:val="Normal"/>
    <w:link w:val="BodyTextIndent2Char"/>
    <w:uiPriority w:val="99"/>
    <w:unhideWhenUsed/>
    <w:qFormat/>
    <w:rsid w:val="00E86956"/>
    <w:pPr>
      <w:spacing w:after="120" w:line="480" w:lineRule="auto"/>
      <w:ind w:left="283"/>
    </w:pPr>
  </w:style>
  <w:style w:type="paragraph" w:customStyle="1" w:styleId="Customisabledocumentheading">
    <w:name w:val="Customisable document heading"/>
    <w:basedOn w:val="Normal"/>
    <w:next w:val="Normal"/>
    <w:qFormat/>
    <w:rsid w:val="00E86956"/>
    <w:rPr>
      <w:rFonts w:ascii="Arial" w:eastAsia="Calibri" w:hAnsi="Arial" w:cs="Times New Roman"/>
      <w:b/>
      <w:lang w:val="en-GB"/>
    </w:rPr>
  </w:style>
  <w:style w:type="paragraph" w:styleId="NoSpacing">
    <w:name w:val="No Spacing"/>
    <w:uiPriority w:val="1"/>
    <w:qFormat/>
    <w:rsid w:val="00CA6A75"/>
  </w:style>
  <w:style w:type="table" w:styleId="TableGrid">
    <w:name w:val="Table Grid"/>
    <w:basedOn w:val="TableNormal"/>
    <w:uiPriority w:val="39"/>
    <w:rsid w:val="0036080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1C52"/>
  </w:style>
  <w:style w:type="character" w:styleId="CommentReference">
    <w:name w:val="annotation reference"/>
    <w:basedOn w:val="DefaultParagraphFont"/>
    <w:uiPriority w:val="99"/>
    <w:semiHidden/>
    <w:unhideWhenUsed/>
    <w:rsid w:val="00D71C52"/>
    <w:rPr>
      <w:sz w:val="16"/>
      <w:szCs w:val="16"/>
    </w:rPr>
  </w:style>
  <w:style w:type="paragraph" w:styleId="CommentText">
    <w:name w:val="annotation text"/>
    <w:basedOn w:val="Normal"/>
    <w:link w:val="CommentTextChar"/>
    <w:uiPriority w:val="99"/>
    <w:semiHidden/>
    <w:unhideWhenUsed/>
    <w:rsid w:val="00D71C52"/>
    <w:rPr>
      <w:sz w:val="20"/>
      <w:szCs w:val="20"/>
    </w:rPr>
  </w:style>
  <w:style w:type="character" w:customStyle="1" w:styleId="CommentTextChar">
    <w:name w:val="Comment Text Char"/>
    <w:basedOn w:val="DefaultParagraphFont"/>
    <w:link w:val="CommentText"/>
    <w:uiPriority w:val="99"/>
    <w:semiHidden/>
    <w:rsid w:val="00D71C52"/>
    <w:rPr>
      <w:sz w:val="20"/>
      <w:szCs w:val="20"/>
    </w:rPr>
  </w:style>
  <w:style w:type="paragraph" w:styleId="CommentSubject">
    <w:name w:val="annotation subject"/>
    <w:basedOn w:val="CommentText"/>
    <w:next w:val="CommentText"/>
    <w:link w:val="CommentSubjectChar"/>
    <w:uiPriority w:val="99"/>
    <w:semiHidden/>
    <w:unhideWhenUsed/>
    <w:rsid w:val="00D71C52"/>
    <w:rPr>
      <w:b/>
      <w:bCs/>
    </w:rPr>
  </w:style>
  <w:style w:type="character" w:customStyle="1" w:styleId="CommentSubjectChar">
    <w:name w:val="Comment Subject Char"/>
    <w:basedOn w:val="CommentTextChar"/>
    <w:link w:val="CommentSubject"/>
    <w:uiPriority w:val="99"/>
    <w:semiHidden/>
    <w:rsid w:val="00D71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5D8F8617E328469B938EC74172F737" ma:contentTypeVersion="13" ma:contentTypeDescription="Create a new document." ma:contentTypeScope="" ma:versionID="c438bfd19d8531191e215b8c0b855b64">
  <xsd:schema xmlns:xsd="http://www.w3.org/2001/XMLSchema" xmlns:xs="http://www.w3.org/2001/XMLSchema" xmlns:p="http://schemas.microsoft.com/office/2006/metadata/properties" xmlns:ns3="eb52a657-c7c6-4e6d-bdcf-14e091db4b4e" xmlns:ns4="6c4d9a6a-5762-40cd-9f21-8d65ee8b1ba9" targetNamespace="http://schemas.microsoft.com/office/2006/metadata/properties" ma:root="true" ma:fieldsID="8e2da2c0e86e526d7f81e81ae78463cf" ns3:_="" ns4:_="">
    <xsd:import namespace="eb52a657-c7c6-4e6d-bdcf-14e091db4b4e"/>
    <xsd:import namespace="6c4d9a6a-5762-40cd-9f21-8d65ee8b1ba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52a657-c7c6-4e6d-bdcf-14e091db4b4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d9a6a-5762-40cd-9f21-8d65ee8b1ba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460969-CCCA-4624-B692-C0DDC4BBA08B}">
  <ds:schemaRefs>
    <ds:schemaRef ds:uri="http://schemas.openxmlformats.org/officeDocument/2006/bibliography"/>
  </ds:schemaRefs>
</ds:datastoreItem>
</file>

<file path=customXml/itemProps2.xml><?xml version="1.0" encoding="utf-8"?>
<ds:datastoreItem xmlns:ds="http://schemas.openxmlformats.org/officeDocument/2006/customXml" ds:itemID="{AF4E92A1-2A05-4C41-BCCD-33FC0C38F721}">
  <ds:schemaRefs>
    <ds:schemaRef ds:uri="http://schemas.microsoft.com/sharepoint/v3/contenttype/forms"/>
  </ds:schemaRefs>
</ds:datastoreItem>
</file>

<file path=customXml/itemProps3.xml><?xml version="1.0" encoding="utf-8"?>
<ds:datastoreItem xmlns:ds="http://schemas.openxmlformats.org/officeDocument/2006/customXml" ds:itemID="{43C34951-2010-41B3-ACAC-05519C5D0EAC}">
  <ds:schemaRefs>
    <ds:schemaRef ds:uri="http://schemas.openxmlformats.org/package/2006/metadata/core-properties"/>
    <ds:schemaRef ds:uri="6c4d9a6a-5762-40cd-9f21-8d65ee8b1ba9"/>
    <ds:schemaRef ds:uri="http://purl.org/dc/term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eb52a657-c7c6-4e6d-bdcf-14e091db4b4e"/>
    <ds:schemaRef ds:uri="http://schemas.microsoft.com/office/2006/metadata/properties"/>
  </ds:schemaRefs>
</ds:datastoreItem>
</file>

<file path=customXml/itemProps4.xml><?xml version="1.0" encoding="utf-8"?>
<ds:datastoreItem xmlns:ds="http://schemas.openxmlformats.org/officeDocument/2006/customXml" ds:itemID="{52F5938E-2CC2-4638-BB98-62737B1D7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52a657-c7c6-4e6d-bdcf-14e091db4b4e"/>
    <ds:schemaRef ds:uri="6c4d9a6a-5762-40cd-9f21-8d65ee8b1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1220</Words>
  <Characters>6958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Institute Appraisal Process vOctober 2013</vt:lpstr>
    </vt:vector>
  </TitlesOfParts>
  <Company>Microsoft</Company>
  <LinksUpToDate>false</LinksUpToDate>
  <CharactersWithSpaces>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Institute Appraisal Process vOctober 2013</dc:title>
  <dc:subject/>
  <dc:creator>pkirkham</dc:creator>
  <dc:description/>
  <cp:lastModifiedBy>Jenny Marzano</cp:lastModifiedBy>
  <cp:revision>6</cp:revision>
  <cp:lastPrinted>2018-09-17T07:32:00Z</cp:lastPrinted>
  <dcterms:created xsi:type="dcterms:W3CDTF">2022-03-11T12:03:00Z</dcterms:created>
  <dcterms:modified xsi:type="dcterms:W3CDTF">2022-03-11T12:33:00Z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Created">
    <vt:filetime>2013-10-10T00:00:00Z</vt:filetime>
  </property>
  <property fmtid="{D5CDD505-2E9C-101B-9397-08002B2CF9AE}" pid="5" name="Creator">
    <vt:lpwstr>PScript5.dll Version 5.2.2</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2016-02-22T00:00:00Z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y fmtid="{D5CDD505-2E9C-101B-9397-08002B2CF9AE}" pid="12" name="ContentTypeId">
    <vt:lpwstr>0x010100FD5D8F8617E328469B938EC74172F737</vt:lpwstr>
  </property>
</Properties>
</file>